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B052" w14:textId="77777777" w:rsidR="00272008" w:rsidRDefault="00272008" w:rsidP="00272008">
      <w:pPr>
        <w:pStyle w:val="Title"/>
        <w:rPr>
          <w:sz w:val="40"/>
          <w:szCs w:val="48"/>
          <w:lang w:val="pt-BR"/>
        </w:rPr>
      </w:pPr>
    </w:p>
    <w:p w14:paraId="7A0F8AA0" w14:textId="7D7C45A4" w:rsidR="00272008" w:rsidRPr="00272008" w:rsidRDefault="00272008" w:rsidP="00272008">
      <w:pPr>
        <w:pStyle w:val="Title"/>
        <w:rPr>
          <w:sz w:val="40"/>
          <w:szCs w:val="48"/>
          <w:lang w:val="pt-BR"/>
        </w:rPr>
      </w:pPr>
      <w:r w:rsidRPr="00272008">
        <w:rPr>
          <w:sz w:val="40"/>
          <w:szCs w:val="48"/>
          <w:lang w:val="pt-BR"/>
        </w:rPr>
        <w:t>Autonom încheie primul semestru din 2026 cu venituri în creștere cu 18,8%</w:t>
      </w:r>
    </w:p>
    <w:p w14:paraId="21F1404F" w14:textId="77777777" w:rsidR="00272008" w:rsidRPr="00272008" w:rsidRDefault="00272008" w:rsidP="00272008">
      <w:pPr>
        <w:rPr>
          <w:rFonts w:ascii="Titillium Web" w:eastAsia="Arial" w:hAnsi="Titillium Web" w:cs="Arial"/>
          <w:b/>
          <w:bCs/>
          <w:sz w:val="24"/>
          <w:szCs w:val="24"/>
          <w:lang w:val="pt-BR"/>
        </w:rPr>
      </w:pPr>
    </w:p>
    <w:p w14:paraId="50DDF579" w14:textId="77777777" w:rsidR="003A6E1B" w:rsidRDefault="003A6E1B" w:rsidP="00272008">
      <w:pPr>
        <w:rPr>
          <w:rFonts w:ascii="Titillium Web" w:eastAsia="Arial" w:hAnsi="Titillium Web" w:cs="Arial"/>
          <w:b/>
          <w:bCs/>
          <w:sz w:val="24"/>
          <w:szCs w:val="24"/>
          <w:lang w:val="pt-BR"/>
        </w:rPr>
      </w:pPr>
    </w:p>
    <w:p w14:paraId="41461163" w14:textId="32325B1B" w:rsidR="00272008" w:rsidRDefault="00272008" w:rsidP="00272008">
      <w:pPr>
        <w:rPr>
          <w:rFonts w:ascii="Titillium Web" w:eastAsia="Arial" w:hAnsi="Titillium Web" w:cs="Arial"/>
          <w:b/>
          <w:bCs/>
          <w:sz w:val="24"/>
          <w:szCs w:val="24"/>
          <w:lang w:val="pt-BR"/>
        </w:rPr>
      </w:pPr>
      <w:r w:rsidRPr="00272008">
        <w:rPr>
          <w:rFonts w:ascii="Titillium Web" w:eastAsia="Arial" w:hAnsi="Titillium Web" w:cs="Arial"/>
          <w:b/>
          <w:bCs/>
          <w:sz w:val="24"/>
          <w:szCs w:val="24"/>
          <w:lang w:val="pt-BR"/>
        </w:rPr>
        <w:t xml:space="preserve">București, </w:t>
      </w:r>
      <w:r w:rsidR="00D013D4">
        <w:rPr>
          <w:rFonts w:ascii="Titillium Web" w:eastAsia="Arial" w:hAnsi="Titillium Web" w:cs="Arial"/>
          <w:b/>
          <w:bCs/>
          <w:sz w:val="24"/>
          <w:szCs w:val="24"/>
          <w:lang w:val="pt-BR"/>
        </w:rPr>
        <w:t xml:space="preserve">28 </w:t>
      </w:r>
      <w:r w:rsidRPr="00272008">
        <w:rPr>
          <w:rFonts w:ascii="Titillium Web" w:eastAsia="Arial" w:hAnsi="Titillium Web" w:cs="Arial"/>
          <w:b/>
          <w:bCs/>
          <w:sz w:val="24"/>
          <w:szCs w:val="24"/>
          <w:lang w:val="pt-BR"/>
        </w:rPr>
        <w:t>august 2026 – Autonom Services S.A. a încheiat primul semestru al anului 2026 cu venituri totale din exploatare de 520,8 milioane de lei, în creștere cu 18,8% față de aceeași perioadă a anului trecut. Toate cele trei divizii principale ale companiei au înregistrat venituri în creștere.</w:t>
      </w:r>
    </w:p>
    <w:p w14:paraId="4D5C28F0" w14:textId="77777777" w:rsidR="00272008" w:rsidRPr="00272008" w:rsidRDefault="00272008" w:rsidP="00272008">
      <w:pPr>
        <w:rPr>
          <w:rFonts w:ascii="Titillium Web" w:eastAsia="Arial" w:hAnsi="Titillium Web" w:cs="Arial"/>
          <w:b/>
          <w:bCs/>
          <w:sz w:val="24"/>
          <w:szCs w:val="24"/>
          <w:lang w:val="pt-BR"/>
        </w:rPr>
      </w:pPr>
    </w:p>
    <w:p w14:paraId="281E00D5" w14:textId="625724EC" w:rsidR="003A6E1B" w:rsidRDefault="00C74631" w:rsidP="00272008">
      <w:pPr>
        <w:rPr>
          <w:rFonts w:ascii="Titillium Web" w:eastAsia="Arial" w:hAnsi="Titillium Web" w:cs="Arial"/>
          <w:sz w:val="24"/>
          <w:szCs w:val="24"/>
        </w:rPr>
      </w:pPr>
      <w:r>
        <w:rPr>
          <w:rFonts w:ascii="Titillium Web" w:eastAsia="Arial" w:hAnsi="Titillium Web" w:cs="Arial"/>
          <w:sz w:val="24"/>
          <w:szCs w:val="24"/>
          <w:lang w:val="pt-BR"/>
        </w:rPr>
        <w:t xml:space="preserve">În primele 6 luni ale anului, </w:t>
      </w:r>
      <w:r w:rsidR="00272008" w:rsidRPr="00272008">
        <w:rPr>
          <w:rFonts w:ascii="Titillium Web" w:eastAsia="Arial" w:hAnsi="Titillium Web" w:cs="Arial"/>
          <w:sz w:val="24"/>
          <w:szCs w:val="24"/>
          <w:lang w:val="pt-BR"/>
        </w:rPr>
        <w:t xml:space="preserve">EBITDA a ajuns la 229,8 milioane de lei, în creștere cu 7,4%, iar profitul operațional s-a situat la 73,4 milioane de lei. </w:t>
      </w:r>
      <w:r w:rsidR="00A359F7">
        <w:rPr>
          <w:rFonts w:ascii="Titillium Web" w:eastAsia="Arial" w:hAnsi="Titillium Web" w:cs="Arial"/>
          <w:sz w:val="24"/>
          <w:szCs w:val="24"/>
          <w:lang w:val="pt-BR"/>
        </w:rPr>
        <w:t>F</w:t>
      </w:r>
      <w:r w:rsidR="00A359F7" w:rsidRPr="00A359F7">
        <w:rPr>
          <w:rFonts w:ascii="Titillium Web" w:eastAsia="Arial" w:hAnsi="Titillium Web" w:cs="Arial"/>
          <w:sz w:val="24"/>
          <w:szCs w:val="24"/>
        </w:rPr>
        <w:t>luxul de numerar din activitatea de exploatare a revenit în teritoriu pozitiv, la 38,9 milioane de lei, față de un consum de 118,2 milioane de lei în prima jumătate a anului trecut</w:t>
      </w:r>
      <w:r w:rsidR="00D013D4">
        <w:rPr>
          <w:rFonts w:ascii="Titillium Web" w:eastAsia="Arial" w:hAnsi="Titillium Web" w:cs="Arial"/>
          <w:sz w:val="24"/>
          <w:szCs w:val="24"/>
        </w:rPr>
        <w:t>,</w:t>
      </w:r>
      <w:r w:rsidR="00A359F7" w:rsidRPr="00A359F7">
        <w:rPr>
          <w:rFonts w:ascii="Titillium Web" w:eastAsia="Arial" w:hAnsi="Titillium Web" w:cs="Arial"/>
          <w:sz w:val="24"/>
          <w:szCs w:val="24"/>
        </w:rPr>
        <w:t xml:space="preserve"> o îmbunătățire de peste 157 de milioane de lei.</w:t>
      </w:r>
      <w:r w:rsidR="00A359F7">
        <w:rPr>
          <w:rFonts w:ascii="Titillium Web" w:eastAsia="Arial" w:hAnsi="Titillium Web" w:cs="Arial"/>
          <w:sz w:val="24"/>
          <w:szCs w:val="24"/>
        </w:rPr>
        <w:t xml:space="preserve"> </w:t>
      </w:r>
    </w:p>
    <w:p w14:paraId="5A3D2D02" w14:textId="0BA4FA05" w:rsidR="00272008" w:rsidRDefault="00272008" w:rsidP="00272008">
      <w:pPr>
        <w:rPr>
          <w:rFonts w:ascii="Titillium Web" w:eastAsia="Arial" w:hAnsi="Titillium Web" w:cs="Arial"/>
          <w:sz w:val="24"/>
          <w:szCs w:val="24"/>
          <w:lang w:val="pt-BR"/>
        </w:rPr>
      </w:pPr>
      <w:r w:rsidRPr="00272008">
        <w:rPr>
          <w:rFonts w:ascii="Titillium Web" w:eastAsia="Arial" w:hAnsi="Titillium Web" w:cs="Arial"/>
          <w:sz w:val="24"/>
          <w:szCs w:val="24"/>
          <w:lang w:val="pt-BR"/>
        </w:rPr>
        <w:t xml:space="preserve">Rezultatul net al perioadei a fost o pierdere de 10,4 milioane de lei, influențată în principal de diferențe de curs valutar de 46,1 milioane de lei, </w:t>
      </w:r>
      <w:r w:rsidR="001F74DB">
        <w:rPr>
          <w:rFonts w:ascii="Titillium Web" w:eastAsia="Arial" w:hAnsi="Titillium Web" w:cs="Arial"/>
          <w:sz w:val="24"/>
          <w:szCs w:val="24"/>
          <w:lang w:val="pt-BR"/>
        </w:rPr>
        <w:t>determinat</w:t>
      </w:r>
      <w:r w:rsidR="003A6E1B">
        <w:rPr>
          <w:rFonts w:ascii="Titillium Web" w:eastAsia="Arial" w:hAnsi="Titillium Web" w:cs="Arial"/>
          <w:sz w:val="24"/>
          <w:szCs w:val="24"/>
          <w:lang w:val="pt-BR"/>
        </w:rPr>
        <w:t>e</w:t>
      </w:r>
      <w:r w:rsidR="001F74DB">
        <w:rPr>
          <w:rFonts w:ascii="Titillium Web" w:eastAsia="Arial" w:hAnsi="Titillium Web" w:cs="Arial"/>
          <w:sz w:val="24"/>
          <w:szCs w:val="24"/>
          <w:lang w:val="pt-BR"/>
        </w:rPr>
        <w:t xml:space="preserve"> de</w:t>
      </w:r>
      <w:r w:rsidRPr="00272008">
        <w:rPr>
          <w:rFonts w:ascii="Titillium Web" w:eastAsia="Arial" w:hAnsi="Titillium Web" w:cs="Arial"/>
          <w:sz w:val="24"/>
          <w:szCs w:val="24"/>
          <w:lang w:val="pt-BR"/>
        </w:rPr>
        <w:t xml:space="preserve"> reevaluarea datoriilor financiare denominate în euro. Excluzând efectul diferențelor de curs, rezultatul înainte de impozitare ar fi fost de 42,1 milioane de lei, apropiat de cel din aceeași perioadă a anului trecut.</w:t>
      </w:r>
      <w:r w:rsidR="00A359F7">
        <w:rPr>
          <w:rFonts w:ascii="Titillium Web" w:eastAsia="Arial" w:hAnsi="Titillium Web" w:cs="Arial"/>
          <w:sz w:val="24"/>
          <w:szCs w:val="24"/>
          <w:lang w:val="pt-BR"/>
        </w:rPr>
        <w:t xml:space="preserve"> </w:t>
      </w:r>
    </w:p>
    <w:p w14:paraId="7E3E9304" w14:textId="77777777" w:rsidR="00A359F7" w:rsidRPr="00272008" w:rsidRDefault="00A359F7" w:rsidP="00272008">
      <w:pPr>
        <w:rPr>
          <w:rFonts w:ascii="Titillium Web" w:eastAsia="Arial" w:hAnsi="Titillium Web" w:cs="Arial"/>
          <w:sz w:val="24"/>
          <w:szCs w:val="24"/>
          <w:lang w:val="pt-BR"/>
        </w:rPr>
      </w:pPr>
    </w:p>
    <w:p w14:paraId="067D1013" w14:textId="34ABAA75" w:rsidR="00272008" w:rsidRDefault="00272008" w:rsidP="00272008">
      <w:pPr>
        <w:rPr>
          <w:rFonts w:ascii="Titillium Web" w:eastAsia="Arial" w:hAnsi="Titillium Web" w:cs="Arial"/>
          <w:sz w:val="24"/>
          <w:szCs w:val="24"/>
          <w:lang w:val="pt-BR"/>
        </w:rPr>
      </w:pPr>
      <w:r w:rsidRPr="001F74DB">
        <w:rPr>
          <w:rFonts w:ascii="Titillium Web" w:eastAsia="Arial" w:hAnsi="Titillium Web" w:cs="Arial"/>
          <w:i/>
          <w:iCs/>
          <w:sz w:val="24"/>
          <w:szCs w:val="24"/>
          <w:lang w:val="pt-BR"/>
        </w:rPr>
        <w:t>„</w:t>
      </w:r>
      <w:r w:rsidR="00C74631" w:rsidRPr="001F74DB">
        <w:rPr>
          <w:rFonts w:ascii="Titillium Web" w:hAnsi="Titillium Web"/>
          <w:i/>
          <w:iCs/>
          <w:sz w:val="24"/>
          <w:szCs w:val="24"/>
          <w:lang w:val="pt-BR"/>
        </w:rPr>
        <w:t xml:space="preserve">Prima jumătate a anului 2026 a fost pentru Autonom o perioadă de creștere, dar și una în care am resimțit mai puternic complexitatea contextului economic în care operăm. </w:t>
      </w:r>
      <w:r w:rsidRPr="001F74DB">
        <w:rPr>
          <w:rFonts w:ascii="Titillium Web" w:eastAsia="Arial" w:hAnsi="Titillium Web" w:cs="Arial"/>
          <w:i/>
          <w:iCs/>
          <w:sz w:val="24"/>
          <w:szCs w:val="24"/>
          <w:lang w:val="pt-BR"/>
        </w:rPr>
        <w:t xml:space="preserve">Toate cele trei linii principale de business au crescut, am continuat să investim și, dincolo de efectele contabile, businessul de bază a rămas profitabil. Pentru noi este important să păstrăm această perspectivă: </w:t>
      </w:r>
      <w:r w:rsidR="003A6E1B" w:rsidRPr="003A6E1B">
        <w:rPr>
          <w:rFonts w:ascii="Titillium Web" w:eastAsia="Arial" w:hAnsi="Titillium Web" w:cs="Arial"/>
          <w:i/>
          <w:iCs/>
          <w:sz w:val="24"/>
          <w:szCs w:val="24"/>
        </w:rPr>
        <w:t>să continuăm să creștem, dar într-un mod sănătos, cu atenție la costuri, la investiții și la riscurile pe care ni le asumăm.</w:t>
      </w:r>
      <w:r w:rsidRPr="001F74DB">
        <w:rPr>
          <w:rFonts w:ascii="Titillium Web" w:eastAsia="Arial" w:hAnsi="Titillium Web" w:cs="Arial"/>
          <w:i/>
          <w:iCs/>
          <w:sz w:val="24"/>
          <w:szCs w:val="24"/>
          <w:lang w:val="pt-BR"/>
        </w:rPr>
        <w:t>”,</w:t>
      </w:r>
      <w:r w:rsidRPr="00C74631">
        <w:rPr>
          <w:rFonts w:ascii="Titillium Web" w:eastAsia="Arial" w:hAnsi="Titillium Web" w:cs="Arial"/>
          <w:sz w:val="24"/>
          <w:szCs w:val="24"/>
          <w:lang w:val="pt-BR"/>
        </w:rPr>
        <w:t xml:space="preserve"> au declarat </w:t>
      </w:r>
      <w:r w:rsidR="00A359F7">
        <w:rPr>
          <w:rFonts w:ascii="Titillium Web" w:eastAsia="Arial" w:hAnsi="Titillium Web" w:cs="Arial"/>
          <w:sz w:val="24"/>
          <w:szCs w:val="24"/>
          <w:lang w:val="pt-BR"/>
        </w:rPr>
        <w:t>Marius</w:t>
      </w:r>
      <w:r w:rsidRPr="00C74631">
        <w:rPr>
          <w:rFonts w:ascii="Titillium Web" w:eastAsia="Arial" w:hAnsi="Titillium Web" w:cs="Arial"/>
          <w:sz w:val="24"/>
          <w:szCs w:val="24"/>
          <w:lang w:val="pt-BR"/>
        </w:rPr>
        <w:t xml:space="preserve"> Ștefan și </w:t>
      </w:r>
      <w:r w:rsidR="00A359F7">
        <w:rPr>
          <w:rFonts w:ascii="Titillium Web" w:eastAsia="Arial" w:hAnsi="Titillium Web" w:cs="Arial"/>
          <w:sz w:val="24"/>
          <w:szCs w:val="24"/>
          <w:lang w:val="pt-BR"/>
        </w:rPr>
        <w:t>Dan</w:t>
      </w:r>
      <w:r w:rsidRPr="00C74631">
        <w:rPr>
          <w:rFonts w:ascii="Titillium Web" w:eastAsia="Arial" w:hAnsi="Titillium Web" w:cs="Arial"/>
          <w:sz w:val="24"/>
          <w:szCs w:val="24"/>
          <w:lang w:val="pt-BR"/>
        </w:rPr>
        <w:t xml:space="preserve"> Ștefan, cofondatorii Autonom.</w:t>
      </w:r>
    </w:p>
    <w:p w14:paraId="70C2F23B" w14:textId="77777777" w:rsidR="00A359F7" w:rsidRPr="001F74DB" w:rsidRDefault="00A359F7" w:rsidP="00272008">
      <w:pPr>
        <w:rPr>
          <w:rFonts w:ascii="Titillium Web" w:hAnsi="Titillium Web"/>
          <w:sz w:val="24"/>
          <w:szCs w:val="24"/>
          <w:lang w:val="pt-BR"/>
        </w:rPr>
      </w:pPr>
    </w:p>
    <w:p w14:paraId="19E15A0E" w14:textId="33F9080F" w:rsidR="00272008" w:rsidRPr="00272008" w:rsidRDefault="00A359F7" w:rsidP="00272008">
      <w:pPr>
        <w:rPr>
          <w:rFonts w:ascii="Titillium Web" w:eastAsia="Arial" w:hAnsi="Titillium Web" w:cs="Arial"/>
          <w:sz w:val="24"/>
          <w:szCs w:val="24"/>
          <w:lang w:val="pt-BR"/>
        </w:rPr>
      </w:pPr>
      <w:r>
        <w:rPr>
          <w:rFonts w:ascii="Titillium Web" w:eastAsia="Arial" w:hAnsi="Titillium Web" w:cs="Arial"/>
          <w:sz w:val="24"/>
          <w:szCs w:val="24"/>
          <w:lang w:val="pt-BR"/>
        </w:rPr>
        <w:t>V</w:t>
      </w:r>
      <w:r w:rsidRPr="00272008">
        <w:rPr>
          <w:rFonts w:ascii="Titillium Web" w:eastAsia="Arial" w:hAnsi="Titillium Web" w:cs="Arial"/>
          <w:sz w:val="24"/>
          <w:szCs w:val="24"/>
          <w:lang w:val="pt-BR"/>
        </w:rPr>
        <w:t>eniturile</w:t>
      </w:r>
      <w:r>
        <w:rPr>
          <w:rFonts w:ascii="Titillium Web" w:eastAsia="Arial" w:hAnsi="Titillium Web" w:cs="Arial"/>
          <w:sz w:val="24"/>
          <w:szCs w:val="24"/>
          <w:lang w:val="pt-BR"/>
        </w:rPr>
        <w:t xml:space="preserve"> generate de serviciul de</w:t>
      </w:r>
      <w:r w:rsidR="00272008" w:rsidRPr="00272008">
        <w:rPr>
          <w:rFonts w:ascii="Titillium Web" w:eastAsia="Arial" w:hAnsi="Titillium Web" w:cs="Arial"/>
          <w:sz w:val="24"/>
          <w:szCs w:val="24"/>
          <w:lang w:val="pt-BR"/>
        </w:rPr>
        <w:t xml:space="preserve"> </w:t>
      </w:r>
      <w:r w:rsidR="00272008" w:rsidRPr="001F74DB">
        <w:rPr>
          <w:rFonts w:ascii="Titillium Web" w:eastAsia="Arial" w:hAnsi="Titillium Web" w:cs="Arial"/>
          <w:b/>
          <w:bCs/>
          <w:sz w:val="24"/>
          <w:szCs w:val="24"/>
          <w:lang w:val="pt-BR"/>
        </w:rPr>
        <w:t>leasing operațional</w:t>
      </w:r>
      <w:r w:rsidR="00272008" w:rsidRPr="00272008">
        <w:rPr>
          <w:rFonts w:ascii="Titillium Web" w:eastAsia="Arial" w:hAnsi="Titillium Web" w:cs="Arial"/>
          <w:sz w:val="24"/>
          <w:szCs w:val="24"/>
          <w:lang w:val="pt-BR"/>
        </w:rPr>
        <w:t>, inclusiv serviciile adiționale contractuale, au crescut cu 11,9%, până la 290,5 milioane de lei. Evoluția a venit într-o perioadă în care multe companii au devenit mai prudente în deciziile de investiții, pe fondul incertitudinii politice și fiscale. În acest context, predictibilitatea costurilor și flexibilitatea oferite de leasingul operațional au devenit și mai relevante pentru clienți.</w:t>
      </w:r>
    </w:p>
    <w:p w14:paraId="7885737B" w14:textId="4392A63F" w:rsidR="00272008" w:rsidRPr="00272008" w:rsidRDefault="00272008" w:rsidP="00A359F7">
      <w:pPr>
        <w:spacing w:before="240"/>
        <w:rPr>
          <w:rFonts w:ascii="Titillium Web" w:eastAsia="Arial" w:hAnsi="Titillium Web" w:cs="Arial"/>
          <w:sz w:val="24"/>
          <w:szCs w:val="24"/>
          <w:lang w:val="pt-BR"/>
        </w:rPr>
      </w:pPr>
      <w:r w:rsidRPr="001F74DB">
        <w:rPr>
          <w:rFonts w:ascii="Titillium Web" w:eastAsia="Arial" w:hAnsi="Titillium Web" w:cs="Arial"/>
          <w:b/>
          <w:bCs/>
          <w:sz w:val="24"/>
          <w:szCs w:val="24"/>
          <w:lang w:val="pt-BR"/>
        </w:rPr>
        <w:lastRenderedPageBreak/>
        <w:t>Divizia de închirieri auto</w:t>
      </w:r>
      <w:r w:rsidRPr="00272008">
        <w:rPr>
          <w:rFonts w:ascii="Titillium Web" w:eastAsia="Arial" w:hAnsi="Titillium Web" w:cs="Arial"/>
          <w:sz w:val="24"/>
          <w:szCs w:val="24"/>
          <w:lang w:val="pt-BR"/>
        </w:rPr>
        <w:t xml:space="preserve"> a avut cea mai rapidă creștere dintre activitățile de servicii, cu venituri de 71,3 milioane de lei, în creștere cu 25% față de S1 2025. Rezultatele au fost susținute de schimbările făcute în politica </w:t>
      </w:r>
      <w:r w:rsidR="00A359F7">
        <w:rPr>
          <w:rFonts w:ascii="Titillium Web" w:eastAsia="Arial" w:hAnsi="Titillium Web" w:cs="Arial"/>
          <w:sz w:val="24"/>
          <w:szCs w:val="24"/>
          <w:lang w:val="pt-BR"/>
        </w:rPr>
        <w:t>comercial</w:t>
      </w:r>
      <w:r w:rsidR="00A359F7">
        <w:rPr>
          <w:rFonts w:ascii="Titillium Web" w:eastAsia="Arial" w:hAnsi="Titillium Web" w:cs="Arial"/>
          <w:sz w:val="24"/>
          <w:szCs w:val="24"/>
        </w:rPr>
        <w:t>ă</w:t>
      </w:r>
      <w:r w:rsidRPr="00272008">
        <w:rPr>
          <w:rFonts w:ascii="Titillium Web" w:eastAsia="Arial" w:hAnsi="Titillium Web" w:cs="Arial"/>
          <w:sz w:val="24"/>
          <w:szCs w:val="24"/>
          <w:lang w:val="pt-BR"/>
        </w:rPr>
        <w:t xml:space="preserve">, de investițiile în marketing și digitalizare și de îmbunătățirea experienței digitale pentru clienții de retail. </w:t>
      </w:r>
      <w:r w:rsidR="003A6E1B" w:rsidRPr="003A6E1B">
        <w:rPr>
          <w:rFonts w:ascii="Titillium Web" w:eastAsia="Arial" w:hAnsi="Titillium Web" w:cs="Arial"/>
          <w:sz w:val="24"/>
          <w:szCs w:val="24"/>
        </w:rPr>
        <w:t>Evoluția pozitivă a continuat și în lunile iulie și august</w:t>
      </w:r>
      <w:r w:rsidRPr="00272008">
        <w:rPr>
          <w:rFonts w:ascii="Titillium Web" w:eastAsia="Arial" w:hAnsi="Titillium Web" w:cs="Arial"/>
          <w:sz w:val="24"/>
          <w:szCs w:val="24"/>
          <w:lang w:val="pt-BR"/>
        </w:rPr>
        <w:t xml:space="preserve">, </w:t>
      </w:r>
      <w:r w:rsidR="00A359F7" w:rsidRPr="00A359F7">
        <w:rPr>
          <w:rFonts w:ascii="Titillium Web" w:eastAsia="Arial" w:hAnsi="Titillium Web" w:cs="Arial"/>
          <w:sz w:val="24"/>
          <w:szCs w:val="24"/>
          <w:lang w:val="pt-BR"/>
        </w:rPr>
        <w:t>confirmând atât nivelul ridicat al cererii din sezonul de vară, cât și efectele inițiativelor implementate în ultimul an.</w:t>
      </w:r>
    </w:p>
    <w:p w14:paraId="78D77A77" w14:textId="5B70C55A" w:rsidR="00272008" w:rsidRDefault="00272008" w:rsidP="00A359F7">
      <w:pPr>
        <w:spacing w:before="240" w:after="240"/>
        <w:rPr>
          <w:rFonts w:ascii="Titillium Web" w:eastAsia="Arial" w:hAnsi="Titillium Web" w:cs="Arial"/>
          <w:sz w:val="24"/>
          <w:szCs w:val="24"/>
          <w:lang w:val="pt-BR"/>
        </w:rPr>
      </w:pPr>
      <w:r w:rsidRPr="00272008">
        <w:rPr>
          <w:rFonts w:ascii="Titillium Web" w:eastAsia="Arial" w:hAnsi="Titillium Web" w:cs="Arial"/>
          <w:sz w:val="24"/>
          <w:szCs w:val="24"/>
          <w:lang w:val="pt-BR"/>
        </w:rPr>
        <w:t xml:space="preserve">În </w:t>
      </w:r>
      <w:r w:rsidRPr="001F74DB">
        <w:rPr>
          <w:rFonts w:ascii="Titillium Web" w:eastAsia="Arial" w:hAnsi="Titillium Web" w:cs="Arial"/>
          <w:b/>
          <w:bCs/>
          <w:sz w:val="24"/>
          <w:szCs w:val="24"/>
          <w:lang w:val="pt-BR"/>
        </w:rPr>
        <w:t>activitatea de vânzare a autovehiculelor rulate și a echipamentelor provenite din flotă,</w:t>
      </w:r>
      <w:r w:rsidRPr="00272008">
        <w:rPr>
          <w:rFonts w:ascii="Titillium Web" w:eastAsia="Arial" w:hAnsi="Titillium Web" w:cs="Arial"/>
          <w:sz w:val="24"/>
          <w:szCs w:val="24"/>
          <w:lang w:val="pt-BR"/>
        </w:rPr>
        <w:t xml:space="preserve"> veniturile au crescut cu 15,9%, la 98,9 milioane de lei. Evoluția acestei activități a fost influențată și de cererea ridicată din rent-a-car, care a determinat compania să păstreze mai multe mașini în exploatare și, implicit, să aibă un stoc mai redus disponibil pentru vânzare în prima parte a anului. Autonom urmărește randamentul obținut pe întregul ciclu de viață al unui autovehicul, nu doar volumul de vânzări dintr-o anumită perioadă.</w:t>
      </w:r>
    </w:p>
    <w:p w14:paraId="21956D8D" w14:textId="77F4791E" w:rsidR="00272008" w:rsidRPr="00272008" w:rsidRDefault="00272008" w:rsidP="00A359F7">
      <w:pPr>
        <w:spacing w:after="240"/>
        <w:rPr>
          <w:rFonts w:ascii="Titillium Web" w:eastAsia="Arial" w:hAnsi="Titillium Web" w:cs="Arial"/>
          <w:sz w:val="24"/>
          <w:szCs w:val="24"/>
          <w:lang w:val="pt-BR"/>
        </w:rPr>
      </w:pPr>
      <w:r w:rsidRPr="00272008">
        <w:rPr>
          <w:rFonts w:ascii="Titillium Web" w:eastAsia="Arial" w:hAnsi="Titillium Web" w:cs="Arial"/>
          <w:sz w:val="24"/>
          <w:szCs w:val="24"/>
          <w:lang w:val="pt-BR"/>
        </w:rPr>
        <w:t>Compania a continuat să investească în flotă și în capacitatea de dezvoltare. Valoarea netă a flotei auto și a echipamentelor pentru închiriere a ajuns la 1,25 miliarde de lei, în creștere cu 7,7% față de finalul anului trecut. La 30 iunie, Autonom avea disponibile facilități de finanțare contractate și netrase în valoare echivalentă cu aproximativ 983 milioane de lei.</w:t>
      </w:r>
    </w:p>
    <w:p w14:paraId="14DE08BB" w14:textId="104FFA6B" w:rsidR="00272008" w:rsidRPr="00272008" w:rsidRDefault="00272008" w:rsidP="00A359F7">
      <w:pPr>
        <w:spacing w:before="240"/>
        <w:rPr>
          <w:rFonts w:ascii="Titillium Web" w:eastAsia="Arial" w:hAnsi="Titillium Web" w:cs="Arial"/>
          <w:sz w:val="24"/>
          <w:szCs w:val="24"/>
          <w:lang w:val="pt-BR"/>
        </w:rPr>
      </w:pPr>
      <w:r w:rsidRPr="00272008">
        <w:rPr>
          <w:rFonts w:ascii="Titillium Web" w:eastAsia="Arial" w:hAnsi="Titillium Web" w:cs="Arial"/>
          <w:sz w:val="24"/>
          <w:szCs w:val="24"/>
          <w:lang w:val="pt-BR"/>
        </w:rPr>
        <w:t>După încheierea semestrului, în luna iulie, Autonom a atras 30 de milioane de euro printr-o nouă emisiune de obligațiuni corelată cu obiective de sustenabilitate, cu maturitate în 2031. Emisiunea AUT31E a fost plasată integral, la o dobândă fixă de 5,97% pe an, iar cererea investitorilor a depășit semnificativ oferta. Obligațiunile au fost listate la Bursa de Valori București în data de 27 iulie 2026.</w:t>
      </w:r>
    </w:p>
    <w:p w14:paraId="0116A249" w14:textId="1C08B8E4" w:rsidR="00272008" w:rsidRPr="00272008" w:rsidRDefault="00272008" w:rsidP="00A359F7">
      <w:pPr>
        <w:spacing w:before="240" w:after="240"/>
        <w:rPr>
          <w:rFonts w:ascii="Titillium Web" w:eastAsia="Arial" w:hAnsi="Titillium Web" w:cs="Arial"/>
          <w:sz w:val="24"/>
          <w:szCs w:val="24"/>
          <w:lang w:val="pt-BR"/>
        </w:rPr>
      </w:pPr>
      <w:r w:rsidRPr="00272008">
        <w:rPr>
          <w:rFonts w:ascii="Titillium Web" w:eastAsia="Arial" w:hAnsi="Titillium Web" w:cs="Arial"/>
          <w:sz w:val="24"/>
          <w:szCs w:val="24"/>
          <w:lang w:val="pt-BR"/>
        </w:rPr>
        <w:t>„Ne-a bucurat foarte mult interesul investitorilor pentru noua emisiune. Faptul că am plasat integral 30 de milioane de euro, la un cost fix pe care îl considerăm foarte bun în contextul actual de piață, ne confirmă că relația construită în timp cu investitorii și partenerii noștri de finanțare este una solidă.”, au adăugat fondatorii Autonom.</w:t>
      </w:r>
    </w:p>
    <w:p w14:paraId="5C5C8663" w14:textId="77777777" w:rsidR="00272008" w:rsidRPr="00272008" w:rsidRDefault="00272008" w:rsidP="00A359F7">
      <w:pPr>
        <w:spacing w:after="240"/>
        <w:rPr>
          <w:rFonts w:ascii="Titillium Web" w:eastAsia="Arial" w:hAnsi="Titillium Web" w:cs="Arial"/>
          <w:sz w:val="24"/>
          <w:szCs w:val="24"/>
          <w:lang w:val="pt-BR"/>
        </w:rPr>
      </w:pPr>
      <w:r w:rsidRPr="00272008">
        <w:rPr>
          <w:rFonts w:ascii="Titillium Web" w:eastAsia="Arial" w:hAnsi="Titillium Web" w:cs="Arial"/>
          <w:sz w:val="24"/>
          <w:szCs w:val="24"/>
          <w:lang w:val="pt-BR"/>
        </w:rPr>
        <w:t>Pentru a doua jumătate a anului, Autonom își păstrează o abordare prudentă, dar cu încredere în perspectivele businessului. Compania va continua să urmărească dezvoltarea sănătoasă a portofoliului de leasing operațional, consolidarea rezultatelor din închirieri auto și optimizarea modului în care este utilizată și valorificată flota.</w:t>
      </w:r>
    </w:p>
    <w:p w14:paraId="4B6621A2" w14:textId="1D77243C" w:rsidR="00272008" w:rsidRPr="00272008" w:rsidRDefault="00272008" w:rsidP="00A359F7">
      <w:pPr>
        <w:spacing w:before="240"/>
        <w:rPr>
          <w:rFonts w:ascii="Titillium Web" w:eastAsia="Arial" w:hAnsi="Titillium Web" w:cs="Arial"/>
          <w:sz w:val="24"/>
          <w:szCs w:val="24"/>
          <w:lang w:val="pt-BR"/>
        </w:rPr>
      </w:pPr>
      <w:r w:rsidRPr="00272008">
        <w:rPr>
          <w:rFonts w:ascii="Titillium Web" w:eastAsia="Arial" w:hAnsi="Titillium Web" w:cs="Arial"/>
          <w:sz w:val="24"/>
          <w:szCs w:val="24"/>
          <w:lang w:val="pt-BR"/>
        </w:rPr>
        <w:lastRenderedPageBreak/>
        <w:t>În paralel, continuă investițiile în digitalizare, automatizare și inteligență artificială. În toate departamentele sunt analizate și implementate soluții care pot simplifica procesele interne, pot îmbunătăți analiza datelor în timp real și pot crește eficiența. Accentul este pus nu doar pe tehnologie, ci și pe dezvoltarea competențelor oamenilor, astfel încât noile instrumente să fie folosite cât mai bine în activitatea de zi cu zi.</w:t>
      </w:r>
    </w:p>
    <w:p w14:paraId="3504A90C" w14:textId="6F816318" w:rsidR="00272008" w:rsidRPr="00272008" w:rsidRDefault="00272008" w:rsidP="00A359F7">
      <w:pPr>
        <w:spacing w:before="240" w:after="240"/>
        <w:rPr>
          <w:rFonts w:ascii="Titillium Web" w:eastAsia="Arial" w:hAnsi="Titillium Web" w:cs="Arial"/>
          <w:sz w:val="24"/>
          <w:szCs w:val="24"/>
          <w:lang w:val="pt-BR"/>
        </w:rPr>
      </w:pPr>
      <w:r w:rsidRPr="00272008">
        <w:rPr>
          <w:rFonts w:ascii="Titillium Web" w:eastAsia="Arial" w:hAnsi="Titillium Web" w:cs="Arial"/>
          <w:sz w:val="24"/>
          <w:szCs w:val="24"/>
          <w:lang w:val="pt-BR"/>
        </w:rPr>
        <w:t>Tot în luna iulie, Autonom a obținut certificarea B Corp, cu un punctaj de 91,2, o recunoaștere externă a modului în care compania integrează impactul social și de mediu în modul său de dezvoltare.</w:t>
      </w:r>
    </w:p>
    <w:p w14:paraId="26B2CC81" w14:textId="2BE95A1A" w:rsidR="00272008" w:rsidRPr="00272008" w:rsidRDefault="00272008" w:rsidP="00A359F7">
      <w:pPr>
        <w:spacing w:after="240"/>
        <w:rPr>
          <w:rFonts w:ascii="Titillium Web" w:eastAsia="Arial" w:hAnsi="Titillium Web" w:cs="Arial"/>
          <w:sz w:val="24"/>
          <w:szCs w:val="24"/>
          <w:lang w:val="pt-BR"/>
        </w:rPr>
      </w:pPr>
      <w:r w:rsidRPr="00272008">
        <w:rPr>
          <w:rFonts w:ascii="Titillium Web" w:eastAsia="Arial" w:hAnsi="Titillium Web" w:cs="Arial"/>
          <w:sz w:val="24"/>
          <w:szCs w:val="24"/>
          <w:lang w:val="pt-BR"/>
        </w:rPr>
        <w:t>„Nu credem că următoarele luni vor fi neapărat mai simple</w:t>
      </w:r>
      <w:r w:rsidR="00A359F7">
        <w:rPr>
          <w:rFonts w:ascii="Titillium Web" w:eastAsia="Arial" w:hAnsi="Titillium Web" w:cs="Arial"/>
          <w:sz w:val="24"/>
          <w:szCs w:val="24"/>
          <w:lang w:val="pt-BR"/>
        </w:rPr>
        <w:t>, însă, î</w:t>
      </w:r>
      <w:r w:rsidRPr="00272008">
        <w:rPr>
          <w:rFonts w:ascii="Titillium Web" w:eastAsia="Arial" w:hAnsi="Titillium Web" w:cs="Arial"/>
          <w:sz w:val="24"/>
          <w:szCs w:val="24"/>
          <w:lang w:val="pt-BR"/>
        </w:rPr>
        <w:t xml:space="preserve">n 20 de ani </w:t>
      </w:r>
      <w:r w:rsidR="00A359F7">
        <w:rPr>
          <w:rFonts w:ascii="Titillium Web" w:eastAsia="Arial" w:hAnsi="Titillium Web" w:cs="Arial"/>
          <w:sz w:val="24"/>
          <w:szCs w:val="24"/>
          <w:lang w:val="pt-BR"/>
        </w:rPr>
        <w:t xml:space="preserve">de activitate și crize multiple, </w:t>
      </w:r>
      <w:r w:rsidRPr="00272008">
        <w:rPr>
          <w:rFonts w:ascii="Titillium Web" w:eastAsia="Arial" w:hAnsi="Titillium Web" w:cs="Arial"/>
          <w:sz w:val="24"/>
          <w:szCs w:val="24"/>
          <w:lang w:val="pt-BR"/>
        </w:rPr>
        <w:t>am învățat să creștem tocmai în perioade în care lucrurile se schimbă repede. Rămânem aproape de clienți, continuăm să investim în oameni și tehnologie și încercăm să luăm decizii bune pe termen lung, chiar și atunci când pe termen scurt există mai multă incertitudine.”</w:t>
      </w:r>
      <w:r w:rsidR="00A359F7">
        <w:rPr>
          <w:rFonts w:ascii="Titillium Web" w:eastAsia="Arial" w:hAnsi="Titillium Web" w:cs="Arial"/>
          <w:sz w:val="24"/>
          <w:szCs w:val="24"/>
          <w:lang w:val="pt-BR"/>
        </w:rPr>
        <w:t xml:space="preserve"> au declarat Marius și Dan Ștefan, co</w:t>
      </w:r>
      <w:r w:rsidR="003A6E1B">
        <w:rPr>
          <w:rFonts w:ascii="Titillium Web" w:eastAsia="Arial" w:hAnsi="Titillium Web" w:cs="Arial"/>
          <w:sz w:val="24"/>
          <w:szCs w:val="24"/>
          <w:lang w:val="pt-BR"/>
        </w:rPr>
        <w:t>-</w:t>
      </w:r>
      <w:r w:rsidR="00A359F7">
        <w:rPr>
          <w:rFonts w:ascii="Titillium Web" w:eastAsia="Arial" w:hAnsi="Titillium Web" w:cs="Arial"/>
          <w:sz w:val="24"/>
          <w:szCs w:val="24"/>
          <w:lang w:val="pt-BR"/>
        </w:rPr>
        <w:t>fondatorii Autonom.</w:t>
      </w:r>
    </w:p>
    <w:p w14:paraId="28D7FB8A" w14:textId="77777777" w:rsidR="00EB3513" w:rsidRDefault="00EB3513" w:rsidP="00EB3513">
      <w:pPr>
        <w:rPr>
          <w:rFonts w:ascii="Titillium Web" w:eastAsia="Arial" w:hAnsi="Titillium Web" w:cs="Arial"/>
          <w:b/>
          <w:bCs/>
          <w:sz w:val="24"/>
          <w:szCs w:val="24"/>
        </w:rPr>
      </w:pPr>
    </w:p>
    <w:p w14:paraId="1CCBCA53" w14:textId="5449A8A7" w:rsidR="00EB3513" w:rsidRPr="007C0436" w:rsidRDefault="00EB3513" w:rsidP="00EB3513">
      <w:pPr>
        <w:rPr>
          <w:rFonts w:ascii="Titillium Web" w:eastAsia="Arial" w:hAnsi="Titillium Web" w:cs="Arial"/>
          <w:b/>
          <w:bCs/>
          <w:sz w:val="24"/>
          <w:szCs w:val="24"/>
        </w:rPr>
      </w:pPr>
      <w:r w:rsidRPr="007C0436">
        <w:rPr>
          <w:rFonts w:ascii="Titillium Web" w:eastAsia="Arial" w:hAnsi="Titillium Web" w:cs="Arial"/>
          <w:b/>
          <w:bCs/>
          <w:sz w:val="24"/>
          <w:szCs w:val="24"/>
        </w:rPr>
        <w:t>Despre Autonom</w:t>
      </w:r>
    </w:p>
    <w:p w14:paraId="697E700F" w14:textId="77777777" w:rsidR="000D5E58" w:rsidRPr="000D5E58" w:rsidRDefault="000D5E58" w:rsidP="000D5E58">
      <w:pPr>
        <w:rPr>
          <w:rFonts w:ascii="Titillium Web" w:eastAsia="Arial" w:hAnsi="Titillium Web" w:cs="Arial"/>
          <w:sz w:val="24"/>
          <w:szCs w:val="24"/>
        </w:rPr>
      </w:pPr>
      <w:r w:rsidRPr="000D5E58">
        <w:rPr>
          <w:rFonts w:ascii="Titillium Web" w:eastAsia="Arial" w:hAnsi="Titillium Web" w:cs="Arial"/>
          <w:sz w:val="24"/>
          <w:szCs w:val="24"/>
        </w:rPr>
        <w:t>Autonom este o companie cu capital 100% românesc, pornită în 2006, în Piatra Neamț și este un jucător în top 3, după cifra de afaceri, în sectoarele principale de activitate: leasing operațional și închirieri auto.</w:t>
      </w:r>
    </w:p>
    <w:p w14:paraId="09EEC53D" w14:textId="3836809A" w:rsidR="00EB3513" w:rsidRPr="00EB3513" w:rsidRDefault="000D5E58" w:rsidP="000D5E58">
      <w:pPr>
        <w:rPr>
          <w:rFonts w:ascii="Titillium Web" w:eastAsia="Arial" w:hAnsi="Titillium Web" w:cs="Arial"/>
          <w:sz w:val="24"/>
          <w:szCs w:val="24"/>
        </w:rPr>
      </w:pPr>
      <w:r w:rsidRPr="000D5E58">
        <w:rPr>
          <w:rFonts w:ascii="Titillium Web" w:eastAsia="Arial" w:hAnsi="Titillium Web" w:cs="Arial"/>
          <w:sz w:val="24"/>
          <w:szCs w:val="24"/>
        </w:rPr>
        <w:t>Compania oferă soluții moderne de mobilitate și finanțare precum: închirieri pe termen scurt și mediu, leasing operațional, transferuri cu șofer, închirierea temporară de flote, servicii de fleet management, asistență rutieră, servicii de spălătorie auto și închiriere de echipamente. Acestea sunt furnizate printr-o rețea națională unică, prezentă în 36 de orașe din România, iar compania operează o flotă de peste 1</w:t>
      </w:r>
      <w:r w:rsidR="00272008">
        <w:rPr>
          <w:rFonts w:ascii="Titillium Web" w:eastAsia="Arial" w:hAnsi="Titillium Web" w:cs="Arial"/>
          <w:sz w:val="24"/>
          <w:szCs w:val="24"/>
        </w:rPr>
        <w:t>8</w:t>
      </w:r>
      <w:r w:rsidRPr="000D5E58">
        <w:rPr>
          <w:rFonts w:ascii="Titillium Web" w:eastAsia="Arial" w:hAnsi="Titillium Web" w:cs="Arial"/>
          <w:sz w:val="24"/>
          <w:szCs w:val="24"/>
        </w:rPr>
        <w:t>.000 de mașini.</w:t>
      </w:r>
    </w:p>
    <w:p w14:paraId="7D36ECBE" w14:textId="356D4F3D" w:rsidR="006B4A31" w:rsidRPr="005C2FD9" w:rsidRDefault="006B4A31" w:rsidP="005C2FD9"/>
    <w:sectPr w:rsidR="006B4A31" w:rsidRPr="005C2FD9" w:rsidSect="00C11D0D">
      <w:headerReference w:type="even" r:id="rId8"/>
      <w:headerReference w:type="default" r:id="rId9"/>
      <w:footerReference w:type="even" r:id="rId10"/>
      <w:footerReference w:type="default" r:id="rId11"/>
      <w:headerReference w:type="first" r:id="rId12"/>
      <w:footerReference w:type="first" r:id="rId13"/>
      <w:pgSz w:w="11906" w:h="16838" w:code="9"/>
      <w:pgMar w:top="1928" w:right="1134" w:bottom="1928" w:left="1134" w:header="737" w:footer="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B3D39" w14:textId="77777777" w:rsidR="00700FAD" w:rsidRDefault="00700FAD" w:rsidP="00586F8E">
      <w:pPr>
        <w:spacing w:line="240" w:lineRule="auto"/>
      </w:pPr>
      <w:r>
        <w:separator/>
      </w:r>
    </w:p>
  </w:endnote>
  <w:endnote w:type="continuationSeparator" w:id="0">
    <w:p w14:paraId="51291857" w14:textId="77777777" w:rsidR="00700FAD" w:rsidRDefault="00700FAD" w:rsidP="00586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C02" w14:textId="77777777" w:rsidR="001F49A7" w:rsidRDefault="001F4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0D23" w14:textId="7CD55C03" w:rsidR="00521783" w:rsidRPr="007D7B9B" w:rsidRDefault="001F49A7" w:rsidP="007D7B9B">
    <w:pPr>
      <w:pStyle w:val="Footer"/>
    </w:pPr>
    <w:r>
      <w:rPr>
        <w:noProof/>
      </w:rPr>
      <w:drawing>
        <wp:anchor distT="0" distB="0" distL="114300" distR="114300" simplePos="0" relativeHeight="251670528" behindDoc="1" locked="0" layoutInCell="1" allowOverlap="1" wp14:anchorId="2037D208" wp14:editId="30568A4F">
          <wp:simplePos x="0" y="0"/>
          <wp:positionH relativeFrom="column">
            <wp:posOffset>-694689</wp:posOffset>
          </wp:positionH>
          <wp:positionV relativeFrom="paragraph">
            <wp:posOffset>-820635</wp:posOffset>
          </wp:positionV>
          <wp:extent cx="7503712" cy="967744"/>
          <wp:effectExtent l="0" t="0" r="2540" b="381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697" cy="976254"/>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937E" w14:textId="77777777" w:rsidR="001F49A7" w:rsidRDefault="001F4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04FD" w14:textId="77777777" w:rsidR="00700FAD" w:rsidRDefault="00700FAD" w:rsidP="00586F8E">
      <w:pPr>
        <w:spacing w:line="240" w:lineRule="auto"/>
      </w:pPr>
      <w:r>
        <w:separator/>
      </w:r>
    </w:p>
  </w:footnote>
  <w:footnote w:type="continuationSeparator" w:id="0">
    <w:p w14:paraId="4777744E" w14:textId="77777777" w:rsidR="00700FAD" w:rsidRDefault="00700FAD" w:rsidP="00586F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F920" w14:textId="77777777" w:rsidR="001F49A7" w:rsidRDefault="001F4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4827" w14:textId="6AF98DA2" w:rsidR="002C5B43" w:rsidRPr="00930931" w:rsidRDefault="00283820" w:rsidP="006B4A31">
    <w:pPr>
      <w:pStyle w:val="Header"/>
      <w:rPr>
        <w:b/>
        <w:bCs/>
      </w:rPr>
    </w:pPr>
    <w:r>
      <w:rPr>
        <w:noProof/>
      </w:rPr>
      <w:drawing>
        <wp:anchor distT="0" distB="0" distL="114300" distR="114300" simplePos="0" relativeHeight="251671552" behindDoc="1" locked="0" layoutInCell="1" allowOverlap="1" wp14:anchorId="02BB7F89" wp14:editId="0EA5CA89">
          <wp:simplePos x="0" y="0"/>
          <wp:positionH relativeFrom="column">
            <wp:posOffset>-694055</wp:posOffset>
          </wp:positionH>
          <wp:positionV relativeFrom="paragraph">
            <wp:posOffset>-430530</wp:posOffset>
          </wp:positionV>
          <wp:extent cx="7498790" cy="967109"/>
          <wp:effectExtent l="0" t="0" r="6985" b="444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498790" cy="96710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330E" w14:textId="77777777" w:rsidR="001F49A7" w:rsidRDefault="001F4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38E3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9B062B"/>
    <w:multiLevelType w:val="hybridMultilevel"/>
    <w:tmpl w:val="BBA655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46179CE"/>
    <w:multiLevelType w:val="hybridMultilevel"/>
    <w:tmpl w:val="6E22A7C0"/>
    <w:lvl w:ilvl="0" w:tplc="4DD6822C">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F0D4333"/>
    <w:multiLevelType w:val="hybridMultilevel"/>
    <w:tmpl w:val="5796A8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57B6ED5"/>
    <w:multiLevelType w:val="hybridMultilevel"/>
    <w:tmpl w:val="14F416E4"/>
    <w:lvl w:ilvl="0" w:tplc="7BBC68D4">
      <w:start w:val="1"/>
      <w:numFmt w:val="decimal"/>
      <w:lvlText w:val="6.%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7323143"/>
    <w:multiLevelType w:val="hybridMultilevel"/>
    <w:tmpl w:val="05746B9C"/>
    <w:lvl w:ilvl="0" w:tplc="1C9CF410">
      <w:start w:val="1"/>
      <w:numFmt w:val="decimal"/>
      <w:lvlText w:val="2.%1."/>
      <w:lvlJc w:val="left"/>
      <w:pPr>
        <w:ind w:left="397" w:hanging="397"/>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73D6A06"/>
    <w:multiLevelType w:val="hybridMultilevel"/>
    <w:tmpl w:val="02746D4A"/>
    <w:lvl w:ilvl="0" w:tplc="45681EDA">
      <w:numFmt w:val="bullet"/>
      <w:lvlText w:val="•"/>
      <w:lvlJc w:val="left"/>
      <w:pPr>
        <w:ind w:left="1068" w:hanging="708"/>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7FD3420"/>
    <w:multiLevelType w:val="hybridMultilevel"/>
    <w:tmpl w:val="79FA0FA2"/>
    <w:lvl w:ilvl="0" w:tplc="04180001">
      <w:start w:val="1"/>
      <w:numFmt w:val="bullet"/>
      <w:lvlText w:val=""/>
      <w:lvlJc w:val="left"/>
      <w:pPr>
        <w:ind w:left="624" w:hanging="227"/>
      </w:pPr>
      <w:rPr>
        <w:rFonts w:ascii="Symbol" w:hAnsi="Symbol" w:hint="default"/>
      </w:rPr>
    </w:lvl>
    <w:lvl w:ilvl="1" w:tplc="04180019" w:tentative="1">
      <w:start w:val="1"/>
      <w:numFmt w:val="lowerLetter"/>
      <w:lvlText w:val="%2."/>
      <w:lvlJc w:val="left"/>
      <w:pPr>
        <w:ind w:left="873" w:hanging="360"/>
      </w:pPr>
    </w:lvl>
    <w:lvl w:ilvl="2" w:tplc="0418001B" w:tentative="1">
      <w:start w:val="1"/>
      <w:numFmt w:val="lowerRoman"/>
      <w:lvlText w:val="%3."/>
      <w:lvlJc w:val="right"/>
      <w:pPr>
        <w:ind w:left="1593" w:hanging="180"/>
      </w:pPr>
    </w:lvl>
    <w:lvl w:ilvl="3" w:tplc="0418000F" w:tentative="1">
      <w:start w:val="1"/>
      <w:numFmt w:val="decimal"/>
      <w:lvlText w:val="%4."/>
      <w:lvlJc w:val="left"/>
      <w:pPr>
        <w:ind w:left="2313" w:hanging="360"/>
      </w:pPr>
    </w:lvl>
    <w:lvl w:ilvl="4" w:tplc="04180019" w:tentative="1">
      <w:start w:val="1"/>
      <w:numFmt w:val="lowerLetter"/>
      <w:lvlText w:val="%5."/>
      <w:lvlJc w:val="left"/>
      <w:pPr>
        <w:ind w:left="3033" w:hanging="360"/>
      </w:pPr>
    </w:lvl>
    <w:lvl w:ilvl="5" w:tplc="0418001B" w:tentative="1">
      <w:start w:val="1"/>
      <w:numFmt w:val="lowerRoman"/>
      <w:lvlText w:val="%6."/>
      <w:lvlJc w:val="right"/>
      <w:pPr>
        <w:ind w:left="3753" w:hanging="180"/>
      </w:pPr>
    </w:lvl>
    <w:lvl w:ilvl="6" w:tplc="0418000F" w:tentative="1">
      <w:start w:val="1"/>
      <w:numFmt w:val="decimal"/>
      <w:lvlText w:val="%7."/>
      <w:lvlJc w:val="left"/>
      <w:pPr>
        <w:ind w:left="4473" w:hanging="360"/>
      </w:pPr>
    </w:lvl>
    <w:lvl w:ilvl="7" w:tplc="04180019" w:tentative="1">
      <w:start w:val="1"/>
      <w:numFmt w:val="lowerLetter"/>
      <w:lvlText w:val="%8."/>
      <w:lvlJc w:val="left"/>
      <w:pPr>
        <w:ind w:left="5193" w:hanging="360"/>
      </w:pPr>
    </w:lvl>
    <w:lvl w:ilvl="8" w:tplc="0418001B" w:tentative="1">
      <w:start w:val="1"/>
      <w:numFmt w:val="lowerRoman"/>
      <w:lvlText w:val="%9."/>
      <w:lvlJc w:val="right"/>
      <w:pPr>
        <w:ind w:left="5913" w:hanging="180"/>
      </w:pPr>
    </w:lvl>
  </w:abstractNum>
  <w:abstractNum w:abstractNumId="8" w15:restartNumberingAfterBreak="0">
    <w:nsid w:val="520E287E"/>
    <w:multiLevelType w:val="hybridMultilevel"/>
    <w:tmpl w:val="49E4420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50D1129"/>
    <w:multiLevelType w:val="hybridMultilevel"/>
    <w:tmpl w:val="E820B312"/>
    <w:lvl w:ilvl="0" w:tplc="57B0839E">
      <w:start w:val="1"/>
      <w:numFmt w:val="decimal"/>
      <w:lvlText w:val="4.%1."/>
      <w:lvlJc w:val="left"/>
      <w:pPr>
        <w:ind w:left="397" w:hanging="397"/>
      </w:pPr>
      <w:rPr>
        <w:rFonts w:hint="default"/>
        <w:b/>
        <w:bCs/>
      </w:rPr>
    </w:lvl>
    <w:lvl w:ilvl="1" w:tplc="BC42ABF8">
      <w:start w:val="1"/>
      <w:numFmt w:val="lowerLetter"/>
      <w:lvlText w:val="%2)"/>
      <w:lvlJc w:val="left"/>
      <w:pPr>
        <w:ind w:left="1191" w:hanging="227"/>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5AF744C"/>
    <w:multiLevelType w:val="multilevel"/>
    <w:tmpl w:val="01E03A78"/>
    <w:lvl w:ilvl="0">
      <w:start w:val="1"/>
      <w:numFmt w:val="decimal"/>
      <w:lvlText w:val="1.%1."/>
      <w:lvlJc w:val="left"/>
      <w:pPr>
        <w:ind w:left="468" w:hanging="468"/>
      </w:pPr>
      <w:rPr>
        <w:rFonts w:hint="default"/>
      </w:rPr>
    </w:lvl>
    <w:lvl w:ilvl="1">
      <w:start w:val="1"/>
      <w:numFmt w:val="decimal"/>
      <w:pStyle w:val="Listanumerica"/>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DF7ACF"/>
    <w:multiLevelType w:val="hybridMultilevel"/>
    <w:tmpl w:val="C01A5880"/>
    <w:lvl w:ilvl="0" w:tplc="1C9CF410">
      <w:start w:val="1"/>
      <w:numFmt w:val="decimal"/>
      <w:lvlText w:val="2.%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15123A6"/>
    <w:multiLevelType w:val="hybridMultilevel"/>
    <w:tmpl w:val="C5F4DE6C"/>
    <w:lvl w:ilvl="0" w:tplc="83CC8CD6">
      <w:start w:val="1"/>
      <w:numFmt w:val="decimal"/>
      <w:lvlText w:val="2.%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7FC6C02"/>
    <w:multiLevelType w:val="hybridMultilevel"/>
    <w:tmpl w:val="3EA6C7BC"/>
    <w:lvl w:ilvl="0" w:tplc="61BC0376">
      <w:start w:val="1"/>
      <w:numFmt w:val="decimal"/>
      <w:lvlText w:val="5.%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9E10AE7"/>
    <w:multiLevelType w:val="hybridMultilevel"/>
    <w:tmpl w:val="FC443F7E"/>
    <w:lvl w:ilvl="0" w:tplc="3BACA7D6">
      <w:start w:val="1"/>
      <w:numFmt w:val="decimal"/>
      <w:lvlText w:val="3.%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E5F5268"/>
    <w:multiLevelType w:val="hybridMultilevel"/>
    <w:tmpl w:val="D284C3F2"/>
    <w:lvl w:ilvl="0" w:tplc="C638DD66">
      <w:start w:val="1"/>
      <w:numFmt w:val="decimal"/>
      <w:lvlText w:val="1.%1."/>
      <w:lvlJc w:val="left"/>
      <w:pPr>
        <w:ind w:left="397" w:hanging="397"/>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89700281">
    <w:abstractNumId w:val="0"/>
  </w:num>
  <w:num w:numId="2" w16cid:durableId="320817015">
    <w:abstractNumId w:val="8"/>
  </w:num>
  <w:num w:numId="3" w16cid:durableId="898713973">
    <w:abstractNumId w:val="10"/>
  </w:num>
  <w:num w:numId="4" w16cid:durableId="961106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8237020">
    <w:abstractNumId w:val="10"/>
  </w:num>
  <w:num w:numId="6" w16cid:durableId="757487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8912458">
    <w:abstractNumId w:val="15"/>
  </w:num>
  <w:num w:numId="8" w16cid:durableId="1830561420">
    <w:abstractNumId w:val="11"/>
  </w:num>
  <w:num w:numId="9" w16cid:durableId="471212775">
    <w:abstractNumId w:val="12"/>
  </w:num>
  <w:num w:numId="10" w16cid:durableId="1017541088">
    <w:abstractNumId w:val="5"/>
  </w:num>
  <w:num w:numId="11" w16cid:durableId="652178717">
    <w:abstractNumId w:val="14"/>
  </w:num>
  <w:num w:numId="12" w16cid:durableId="825973912">
    <w:abstractNumId w:val="9"/>
  </w:num>
  <w:num w:numId="13" w16cid:durableId="173346624">
    <w:abstractNumId w:val="13"/>
  </w:num>
  <w:num w:numId="14" w16cid:durableId="647629318">
    <w:abstractNumId w:val="7"/>
  </w:num>
  <w:num w:numId="15" w16cid:durableId="1442262656">
    <w:abstractNumId w:val="2"/>
  </w:num>
  <w:num w:numId="16" w16cid:durableId="275796458">
    <w:abstractNumId w:val="4"/>
  </w:num>
  <w:num w:numId="17" w16cid:durableId="150608372">
    <w:abstractNumId w:val="3"/>
  </w:num>
  <w:num w:numId="18" w16cid:durableId="1068575864">
    <w:abstractNumId w:val="6"/>
  </w:num>
  <w:num w:numId="19" w16cid:durableId="1264846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DC"/>
    <w:rsid w:val="0000296A"/>
    <w:rsid w:val="00004C5B"/>
    <w:rsid w:val="0003296E"/>
    <w:rsid w:val="000D5E58"/>
    <w:rsid w:val="000D76A3"/>
    <w:rsid w:val="000F5F69"/>
    <w:rsid w:val="0015626C"/>
    <w:rsid w:val="001824F8"/>
    <w:rsid w:val="00195ADF"/>
    <w:rsid w:val="001964AF"/>
    <w:rsid w:val="001C3E03"/>
    <w:rsid w:val="001D4C75"/>
    <w:rsid w:val="001F3D84"/>
    <w:rsid w:val="001F49A7"/>
    <w:rsid w:val="001F74DB"/>
    <w:rsid w:val="00252FEB"/>
    <w:rsid w:val="00272008"/>
    <w:rsid w:val="00283820"/>
    <w:rsid w:val="002C5B43"/>
    <w:rsid w:val="00303A3E"/>
    <w:rsid w:val="003A6E1B"/>
    <w:rsid w:val="003C582C"/>
    <w:rsid w:val="00402AD3"/>
    <w:rsid w:val="005036D9"/>
    <w:rsid w:val="00521783"/>
    <w:rsid w:val="005809D8"/>
    <w:rsid w:val="00586F8E"/>
    <w:rsid w:val="00590E17"/>
    <w:rsid w:val="005C2FD9"/>
    <w:rsid w:val="00632692"/>
    <w:rsid w:val="00632F5E"/>
    <w:rsid w:val="00660ECE"/>
    <w:rsid w:val="00666691"/>
    <w:rsid w:val="00691C65"/>
    <w:rsid w:val="006B4A31"/>
    <w:rsid w:val="006D2009"/>
    <w:rsid w:val="006E37F7"/>
    <w:rsid w:val="00700FAD"/>
    <w:rsid w:val="00722A94"/>
    <w:rsid w:val="00724ACB"/>
    <w:rsid w:val="00750A7D"/>
    <w:rsid w:val="00757CD8"/>
    <w:rsid w:val="007965F6"/>
    <w:rsid w:val="007C6538"/>
    <w:rsid w:val="007D7B9B"/>
    <w:rsid w:val="00870A05"/>
    <w:rsid w:val="008E5340"/>
    <w:rsid w:val="00930931"/>
    <w:rsid w:val="00A359F7"/>
    <w:rsid w:val="00A954E7"/>
    <w:rsid w:val="00AD779D"/>
    <w:rsid w:val="00AF077E"/>
    <w:rsid w:val="00B415AB"/>
    <w:rsid w:val="00B803DC"/>
    <w:rsid w:val="00BE55C4"/>
    <w:rsid w:val="00C11D0D"/>
    <w:rsid w:val="00C40AAB"/>
    <w:rsid w:val="00C50256"/>
    <w:rsid w:val="00C74631"/>
    <w:rsid w:val="00CA79AD"/>
    <w:rsid w:val="00D013D4"/>
    <w:rsid w:val="00D142AF"/>
    <w:rsid w:val="00DE16CE"/>
    <w:rsid w:val="00E11BB7"/>
    <w:rsid w:val="00E501E1"/>
    <w:rsid w:val="00EB3513"/>
    <w:rsid w:val="00EE0C03"/>
    <w:rsid w:val="00F74BDF"/>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98CE8"/>
  <w15:chartTrackingRefBased/>
  <w15:docId w15:val="{BEA878FE-52B5-4A37-B2EE-0C4AA4A9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f"/>
    <w:qFormat/>
    <w:rsid w:val="00521783"/>
    <w:pPr>
      <w:spacing w:after="0" w:line="264" w:lineRule="auto"/>
      <w:jc w:val="both"/>
    </w:pPr>
    <w:rPr>
      <w:rFonts w:ascii="Arial" w:hAnsi="Arial"/>
      <w:sz w:val="20"/>
    </w:rPr>
  </w:style>
  <w:style w:type="paragraph" w:styleId="Heading1">
    <w:name w:val="heading 1"/>
    <w:aliases w:val="Title"/>
    <w:basedOn w:val="Normal"/>
    <w:next w:val="Normal"/>
    <w:link w:val="Heading1Char"/>
    <w:uiPriority w:val="9"/>
    <w:qFormat/>
    <w:rsid w:val="002C5B43"/>
    <w:pPr>
      <w:keepNext/>
      <w:keepLines/>
      <w:jc w:val="center"/>
      <w:outlineLvl w:val="0"/>
    </w:pPr>
    <w:rPr>
      <w:rFonts w:eastAsiaTheme="majorEastAsia" w:cstheme="majorBidi"/>
      <w:b/>
      <w:color w:val="0A01A4"/>
      <w:sz w:val="26"/>
      <w:szCs w:val="32"/>
    </w:rPr>
  </w:style>
  <w:style w:type="paragraph" w:styleId="Heading2">
    <w:name w:val="heading 2"/>
    <w:aliases w:val="Subtitle"/>
    <w:basedOn w:val="Normal"/>
    <w:next w:val="Normal"/>
    <w:link w:val="Heading2Char"/>
    <w:uiPriority w:val="9"/>
    <w:unhideWhenUsed/>
    <w:qFormat/>
    <w:rsid w:val="00757CD8"/>
    <w:pPr>
      <w:keepNext/>
      <w:keepLines/>
      <w:spacing w:before="40"/>
      <w:outlineLvl w:val="1"/>
    </w:pPr>
    <w:rPr>
      <w:rFonts w:eastAsiaTheme="majorEastAsia" w:cstheme="majorBidi"/>
      <w:b/>
      <w:color w:val="007FC4"/>
      <w:sz w:val="24"/>
      <w:szCs w:val="26"/>
    </w:rPr>
  </w:style>
  <w:style w:type="paragraph" w:styleId="Heading3">
    <w:name w:val="heading 3"/>
    <w:basedOn w:val="Normal"/>
    <w:next w:val="Normal"/>
    <w:link w:val="Heading3Char"/>
    <w:uiPriority w:val="9"/>
    <w:semiHidden/>
    <w:unhideWhenUsed/>
    <w:rsid w:val="00586F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F8E"/>
    <w:pPr>
      <w:tabs>
        <w:tab w:val="center" w:pos="4513"/>
        <w:tab w:val="right" w:pos="9026"/>
      </w:tabs>
      <w:spacing w:line="240" w:lineRule="auto"/>
    </w:pPr>
  </w:style>
  <w:style w:type="character" w:customStyle="1" w:styleId="HeaderChar">
    <w:name w:val="Header Char"/>
    <w:basedOn w:val="DefaultParagraphFont"/>
    <w:link w:val="Header"/>
    <w:uiPriority w:val="99"/>
    <w:rsid w:val="00586F8E"/>
  </w:style>
  <w:style w:type="paragraph" w:styleId="Footer">
    <w:name w:val="footer"/>
    <w:basedOn w:val="Normal"/>
    <w:link w:val="FooterChar"/>
    <w:uiPriority w:val="99"/>
    <w:unhideWhenUsed/>
    <w:rsid w:val="00586F8E"/>
    <w:pPr>
      <w:tabs>
        <w:tab w:val="center" w:pos="4513"/>
        <w:tab w:val="right" w:pos="9026"/>
      </w:tabs>
      <w:spacing w:line="240" w:lineRule="auto"/>
    </w:pPr>
  </w:style>
  <w:style w:type="character" w:customStyle="1" w:styleId="FooterChar">
    <w:name w:val="Footer Char"/>
    <w:basedOn w:val="DefaultParagraphFont"/>
    <w:link w:val="Footer"/>
    <w:uiPriority w:val="99"/>
    <w:rsid w:val="00586F8E"/>
  </w:style>
  <w:style w:type="paragraph" w:styleId="Title">
    <w:name w:val="Title"/>
    <w:aliases w:val="Title coperta"/>
    <w:basedOn w:val="Normal"/>
    <w:next w:val="Normal"/>
    <w:link w:val="TitleChar"/>
    <w:uiPriority w:val="10"/>
    <w:qFormat/>
    <w:rsid w:val="00586F8E"/>
    <w:pPr>
      <w:spacing w:line="240" w:lineRule="auto"/>
      <w:contextualSpacing/>
      <w:jc w:val="center"/>
    </w:pPr>
    <w:rPr>
      <w:rFonts w:eastAsiaTheme="majorEastAsia" w:cstheme="majorBidi"/>
      <w:b/>
      <w:color w:val="273691"/>
      <w:spacing w:val="-10"/>
      <w:kern w:val="28"/>
      <w:sz w:val="48"/>
      <w:szCs w:val="56"/>
    </w:rPr>
  </w:style>
  <w:style w:type="character" w:customStyle="1" w:styleId="TitleChar">
    <w:name w:val="Title Char"/>
    <w:aliases w:val="Title coperta Char"/>
    <w:basedOn w:val="DefaultParagraphFont"/>
    <w:link w:val="Title"/>
    <w:uiPriority w:val="10"/>
    <w:rsid w:val="00586F8E"/>
    <w:rPr>
      <w:rFonts w:ascii="Arial" w:eastAsiaTheme="majorEastAsia" w:hAnsi="Arial" w:cstheme="majorBidi"/>
      <w:b/>
      <w:color w:val="273691"/>
      <w:spacing w:val="-10"/>
      <w:kern w:val="28"/>
      <w:sz w:val="48"/>
      <w:szCs w:val="56"/>
    </w:rPr>
  </w:style>
  <w:style w:type="character" w:customStyle="1" w:styleId="Heading1Char">
    <w:name w:val="Heading 1 Char"/>
    <w:aliases w:val="Title Char1"/>
    <w:basedOn w:val="DefaultParagraphFont"/>
    <w:link w:val="Heading1"/>
    <w:uiPriority w:val="9"/>
    <w:rsid w:val="002C5B43"/>
    <w:rPr>
      <w:rFonts w:ascii="Arial" w:eastAsiaTheme="majorEastAsia" w:hAnsi="Arial" w:cstheme="majorBidi"/>
      <w:b/>
      <w:color w:val="0A01A4"/>
      <w:sz w:val="26"/>
      <w:szCs w:val="32"/>
    </w:rPr>
  </w:style>
  <w:style w:type="character" w:customStyle="1" w:styleId="Heading2Char">
    <w:name w:val="Heading 2 Char"/>
    <w:aliases w:val="Subtitle Char"/>
    <w:basedOn w:val="DefaultParagraphFont"/>
    <w:link w:val="Heading2"/>
    <w:uiPriority w:val="9"/>
    <w:rsid w:val="00757CD8"/>
    <w:rPr>
      <w:rFonts w:ascii="Arial" w:eastAsiaTheme="majorEastAsia" w:hAnsi="Arial" w:cstheme="majorBidi"/>
      <w:b/>
      <w:color w:val="007FC4"/>
      <w:sz w:val="24"/>
      <w:szCs w:val="26"/>
    </w:rPr>
  </w:style>
  <w:style w:type="character" w:customStyle="1" w:styleId="Heading3Char">
    <w:name w:val="Heading 3 Char"/>
    <w:basedOn w:val="DefaultParagraphFont"/>
    <w:link w:val="Heading3"/>
    <w:uiPriority w:val="9"/>
    <w:semiHidden/>
    <w:rsid w:val="00586F8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rsid w:val="00586F8E"/>
    <w:pPr>
      <w:ind w:left="720"/>
      <w:contextualSpacing/>
    </w:pPr>
  </w:style>
  <w:style w:type="paragraph" w:customStyle="1" w:styleId="Lista">
    <w:name w:val="Lista"/>
    <w:basedOn w:val="ListBullet"/>
    <w:link w:val="ListaChar"/>
    <w:qFormat/>
    <w:rsid w:val="00586F8E"/>
    <w:pPr>
      <w:ind w:left="227" w:hanging="227"/>
    </w:pPr>
  </w:style>
  <w:style w:type="paragraph" w:customStyle="1" w:styleId="AutNormal">
    <w:name w:val="Aut_Normal"/>
    <w:basedOn w:val="Normal"/>
    <w:link w:val="AutNormalCaracter"/>
    <w:autoRedefine/>
    <w:rsid w:val="00586F8E"/>
    <w:rPr>
      <w:rFonts w:ascii="Calibri" w:hAnsi="Calibri"/>
      <w:color w:val="000000"/>
      <w:sz w:val="24"/>
      <w:szCs w:val="24"/>
    </w:rPr>
  </w:style>
  <w:style w:type="character" w:customStyle="1" w:styleId="ListaChar">
    <w:name w:val="Lista Char"/>
    <w:basedOn w:val="DefaultParagraphFont"/>
    <w:link w:val="Lista"/>
    <w:rsid w:val="00586F8E"/>
    <w:rPr>
      <w:rFonts w:ascii="Arial" w:hAnsi="Arial"/>
    </w:rPr>
  </w:style>
  <w:style w:type="character" w:customStyle="1" w:styleId="AutNormalCaracter">
    <w:name w:val="Aut_Normal Caracter"/>
    <w:basedOn w:val="DefaultParagraphFont"/>
    <w:link w:val="AutNormal"/>
    <w:rsid w:val="00586F8E"/>
    <w:rPr>
      <w:rFonts w:ascii="Calibri" w:hAnsi="Calibri"/>
      <w:color w:val="000000"/>
      <w:sz w:val="24"/>
      <w:szCs w:val="24"/>
    </w:rPr>
  </w:style>
  <w:style w:type="paragraph" w:styleId="ListBullet">
    <w:name w:val="List Bullet"/>
    <w:basedOn w:val="Normal"/>
    <w:uiPriority w:val="99"/>
    <w:semiHidden/>
    <w:unhideWhenUsed/>
    <w:rsid w:val="00586F8E"/>
    <w:pPr>
      <w:numPr>
        <w:numId w:val="1"/>
      </w:numPr>
      <w:contextualSpacing/>
    </w:pPr>
  </w:style>
  <w:style w:type="paragraph" w:customStyle="1" w:styleId="Listanumerica">
    <w:name w:val="Lista numerica"/>
    <w:basedOn w:val="ListParagraph"/>
    <w:link w:val="ListanumericaChar"/>
    <w:qFormat/>
    <w:rsid w:val="00521783"/>
    <w:pPr>
      <w:numPr>
        <w:ilvl w:val="1"/>
        <w:numId w:val="5"/>
      </w:numPr>
    </w:pPr>
  </w:style>
  <w:style w:type="paragraph" w:styleId="BalloonText">
    <w:name w:val="Balloon Text"/>
    <w:basedOn w:val="Normal"/>
    <w:link w:val="BalloonTextChar"/>
    <w:uiPriority w:val="99"/>
    <w:semiHidden/>
    <w:unhideWhenUsed/>
    <w:rsid w:val="00521783"/>
    <w:pPr>
      <w:spacing w:line="240" w:lineRule="auto"/>
    </w:pPr>
    <w:rPr>
      <w:rFonts w:ascii="Segoe UI" w:hAnsi="Segoe UI" w:cs="Segoe UI"/>
      <w:sz w:val="18"/>
      <w:szCs w:val="18"/>
    </w:rPr>
  </w:style>
  <w:style w:type="character" w:customStyle="1" w:styleId="ListParagraphChar">
    <w:name w:val="List Paragraph Char"/>
    <w:basedOn w:val="DefaultParagraphFont"/>
    <w:link w:val="ListParagraph"/>
    <w:uiPriority w:val="34"/>
    <w:rsid w:val="00521783"/>
    <w:rPr>
      <w:rFonts w:ascii="Arial" w:hAnsi="Arial"/>
      <w:sz w:val="20"/>
    </w:rPr>
  </w:style>
  <w:style w:type="character" w:customStyle="1" w:styleId="ListanumericaChar">
    <w:name w:val="Lista numerica Char"/>
    <w:basedOn w:val="ListParagraphChar"/>
    <w:link w:val="Listanumerica"/>
    <w:rsid w:val="00521783"/>
    <w:rPr>
      <w:rFonts w:ascii="Arial" w:hAnsi="Arial"/>
      <w:sz w:val="20"/>
    </w:rPr>
  </w:style>
  <w:style w:type="character" w:customStyle="1" w:styleId="BalloonTextChar">
    <w:name w:val="Balloon Text Char"/>
    <w:basedOn w:val="DefaultParagraphFont"/>
    <w:link w:val="BalloonText"/>
    <w:uiPriority w:val="99"/>
    <w:semiHidden/>
    <w:rsid w:val="00521783"/>
    <w:rPr>
      <w:rFonts w:ascii="Segoe UI" w:hAnsi="Segoe UI" w:cs="Segoe UI"/>
      <w:sz w:val="18"/>
      <w:szCs w:val="18"/>
    </w:rPr>
  </w:style>
  <w:style w:type="table" w:styleId="TableGrid">
    <w:name w:val="Table Grid"/>
    <w:basedOn w:val="TableNormal"/>
    <w:uiPriority w:val="39"/>
    <w:rsid w:val="00D1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BA4A8-B586-4668-B3EC-8929709B8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Ciortan</dc:creator>
  <cp:keywords/>
  <dc:description/>
  <cp:lastModifiedBy>Autonom</cp:lastModifiedBy>
  <cp:revision>3</cp:revision>
  <cp:lastPrinted>2019-10-17T08:04:00Z</cp:lastPrinted>
  <dcterms:created xsi:type="dcterms:W3CDTF">2026-08-28T06:08:00Z</dcterms:created>
  <dcterms:modified xsi:type="dcterms:W3CDTF">2026-08-28T06:19:00Z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c225dfa97a25dceda4f00177642dfce8aeafadec9ebb898cfde155b6c078a1fd</vt:lpwstr>
  </property>
</Properties>
</file>