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AF17B" w14:textId="77777777" w:rsidR="00C35CB8" w:rsidRDefault="00C35CB8" w:rsidP="00C35CB8">
      <w:pPr>
        <w:pStyle w:val="Title"/>
        <w:rPr>
          <w:rFonts w:ascii="Titilium Web" w:hAnsi="Titilium Web"/>
          <w:lang w:val="en-US"/>
        </w:rPr>
      </w:pPr>
    </w:p>
    <w:p w14:paraId="561F26FD" w14:textId="5B375F96" w:rsidR="00C35CB8" w:rsidRPr="00C35CB8" w:rsidRDefault="00C35CB8" w:rsidP="00C35CB8">
      <w:pPr>
        <w:pStyle w:val="Title"/>
        <w:rPr>
          <w:rFonts w:ascii="Titilium Web" w:hAnsi="Titilium Web"/>
          <w:lang w:val="en-US"/>
        </w:rPr>
      </w:pPr>
      <w:r w:rsidRPr="00C35CB8">
        <w:rPr>
          <w:rFonts w:ascii="Titilium Web" w:hAnsi="Titilium Web"/>
          <w:lang w:val="en-US"/>
        </w:rPr>
        <w:t xml:space="preserve">Autonom </w:t>
      </w:r>
      <w:proofErr w:type="gramStart"/>
      <w:r w:rsidRPr="00C35CB8">
        <w:rPr>
          <w:rFonts w:ascii="Titilium Web" w:hAnsi="Titilium Web"/>
          <w:lang w:val="en-US"/>
        </w:rPr>
        <w:t>closes</w:t>
      </w:r>
      <w:proofErr w:type="gramEnd"/>
      <w:r w:rsidRPr="00C35CB8">
        <w:rPr>
          <w:rFonts w:ascii="Titilium Web" w:hAnsi="Titilium Web"/>
          <w:lang w:val="en-US"/>
        </w:rPr>
        <w:t xml:space="preserve"> the first half of 2026 with revenues up 18.8%</w:t>
      </w:r>
    </w:p>
    <w:p w14:paraId="39813649" w14:textId="77777777" w:rsidR="00C35CB8" w:rsidRPr="00C35CB8" w:rsidRDefault="00C35CB8" w:rsidP="00C35CB8">
      <w:pPr>
        <w:rPr>
          <w:rFonts w:ascii="Titillium Web" w:hAnsi="Titillium Web"/>
          <w:b/>
          <w:bCs/>
          <w:lang w:val="en-US"/>
        </w:rPr>
      </w:pPr>
    </w:p>
    <w:p w14:paraId="04278CF5" w14:textId="4EECF007" w:rsidR="00C35CB8" w:rsidRPr="00C35CB8" w:rsidRDefault="00C35CB8" w:rsidP="00C35CB8">
      <w:pPr>
        <w:rPr>
          <w:rFonts w:ascii="Titillium Web" w:hAnsi="Titillium Web"/>
          <w:b/>
          <w:bCs/>
          <w:sz w:val="24"/>
          <w:szCs w:val="24"/>
          <w:lang w:val="en-US"/>
        </w:rPr>
      </w:pPr>
      <w:r w:rsidRPr="00C35CB8">
        <w:rPr>
          <w:rFonts w:ascii="Titillium Web" w:hAnsi="Titillium Web"/>
          <w:b/>
          <w:bCs/>
          <w:sz w:val="24"/>
          <w:szCs w:val="24"/>
          <w:lang w:val="en-US"/>
        </w:rPr>
        <w:t>Bucharest, 28 August 2026 – Autonom Services S.A. closed the first half of 2026 with total operating revenues of RON 520.8 million, up 18.8% compared to the same period last year. All three of the company’s main business divisions recorded revenue growth.</w:t>
      </w:r>
    </w:p>
    <w:p w14:paraId="72F7D11E" w14:textId="77777777" w:rsidR="00C35CB8" w:rsidRPr="00C35CB8" w:rsidRDefault="00C35CB8" w:rsidP="00C35CB8">
      <w:pPr>
        <w:rPr>
          <w:rFonts w:ascii="Titillium Web" w:hAnsi="Titillium Web"/>
          <w:sz w:val="24"/>
          <w:szCs w:val="24"/>
          <w:lang w:val="en-US"/>
        </w:rPr>
      </w:pPr>
    </w:p>
    <w:p w14:paraId="7C574CB2" w14:textId="77777777" w:rsidR="00C35CB8" w:rsidRPr="00C35CB8" w:rsidRDefault="00C35CB8" w:rsidP="00C35CB8">
      <w:pPr>
        <w:spacing w:after="240"/>
        <w:rPr>
          <w:rFonts w:ascii="Titillium Web" w:hAnsi="Titillium Web"/>
          <w:sz w:val="24"/>
          <w:szCs w:val="24"/>
          <w:lang w:val="en-US"/>
        </w:rPr>
      </w:pPr>
      <w:r w:rsidRPr="00C35CB8">
        <w:rPr>
          <w:rFonts w:ascii="Titillium Web" w:hAnsi="Titillium Web"/>
          <w:sz w:val="24"/>
          <w:szCs w:val="24"/>
          <w:lang w:val="en-US"/>
        </w:rPr>
        <w:t>In the first six months of the year, EBITDA reached RON 229.8 million, up 7.4%, while operating profit stood at RON 73.4 million. Cash flow from operating activities returned to positive territory, reaching RON 38.9 million, compared with a cash outflow of RON 118.2 million in the first half of last year, representing an improvement of more than RON 157 million.</w:t>
      </w:r>
    </w:p>
    <w:p w14:paraId="3111FF9C" w14:textId="2D62375E" w:rsidR="00C35CB8" w:rsidRPr="00C35CB8" w:rsidRDefault="00C35CB8" w:rsidP="00C35CB8">
      <w:pPr>
        <w:spacing w:after="240"/>
        <w:rPr>
          <w:rFonts w:ascii="Titillium Web" w:hAnsi="Titillium Web"/>
          <w:sz w:val="24"/>
          <w:szCs w:val="24"/>
          <w:lang w:val="en-US"/>
        </w:rPr>
      </w:pPr>
      <w:r w:rsidRPr="00C35CB8">
        <w:rPr>
          <w:rFonts w:ascii="Titillium Web" w:hAnsi="Titillium Web"/>
          <w:sz w:val="24"/>
          <w:szCs w:val="24"/>
          <w:lang w:val="en-US"/>
        </w:rPr>
        <w:t>The net result for the period was a loss of RON 10.4 million, mainly impacted by foreign exchange differences of RON 46.1 million, resulting from the revaluation of euro-denominated financial liabilities. Excluding the impact of foreign exchange differences, profit before tax would have amounted to RON 42.1 million, close to the level recorded in the same period last year.</w:t>
      </w:r>
    </w:p>
    <w:p w14:paraId="22FD0773" w14:textId="77777777" w:rsidR="00C35CB8" w:rsidRPr="00C35CB8" w:rsidRDefault="00C35CB8" w:rsidP="00C35CB8">
      <w:pPr>
        <w:spacing w:before="240"/>
        <w:rPr>
          <w:rFonts w:ascii="Titillium Web" w:hAnsi="Titillium Web"/>
          <w:sz w:val="24"/>
          <w:szCs w:val="24"/>
          <w:lang w:val="en-US"/>
        </w:rPr>
      </w:pPr>
      <w:r w:rsidRPr="00C35CB8">
        <w:rPr>
          <w:rFonts w:ascii="Titillium Web" w:hAnsi="Titillium Web"/>
          <w:i/>
          <w:iCs/>
          <w:sz w:val="24"/>
          <w:szCs w:val="24"/>
          <w:lang w:val="en-US"/>
        </w:rPr>
        <w:t>“The first half of 2026 was a period of growth for Autonom, but also one in which we felt more strongly the complexity of the economic environment in which we operate. All three of our main business lines grew, we continued to invest and, beyond the accounting effects, our core business remained profitable. For us, it is important to keep this perspective: to continue growing, but in a healthy way, with close attention to costs, investments and the risks we take,”</w:t>
      </w:r>
      <w:r w:rsidRPr="00C35CB8">
        <w:rPr>
          <w:rFonts w:ascii="Titillium Web" w:hAnsi="Titillium Web"/>
          <w:sz w:val="24"/>
          <w:szCs w:val="24"/>
          <w:lang w:val="en-US"/>
        </w:rPr>
        <w:t xml:space="preserve"> said Marius Ștefan and Dan Ștefan, co-founders of Autonom.</w:t>
      </w:r>
    </w:p>
    <w:p w14:paraId="601394B3" w14:textId="77777777" w:rsidR="00C35CB8" w:rsidRPr="00C35CB8" w:rsidRDefault="00C35CB8" w:rsidP="00C35CB8">
      <w:pPr>
        <w:spacing w:before="240" w:after="240"/>
        <w:rPr>
          <w:rFonts w:ascii="Titillium Web" w:hAnsi="Titillium Web"/>
          <w:sz w:val="24"/>
          <w:szCs w:val="24"/>
          <w:lang w:val="en-US"/>
        </w:rPr>
      </w:pPr>
      <w:r w:rsidRPr="00C35CB8">
        <w:rPr>
          <w:rFonts w:ascii="Titillium Web" w:hAnsi="Titillium Web"/>
          <w:sz w:val="24"/>
          <w:szCs w:val="24"/>
          <w:lang w:val="en-US"/>
        </w:rPr>
        <w:t xml:space="preserve">Revenues generated by the </w:t>
      </w:r>
      <w:r w:rsidRPr="00C35CB8">
        <w:rPr>
          <w:rFonts w:ascii="Titillium Web" w:hAnsi="Titillium Web"/>
          <w:b/>
          <w:bCs/>
          <w:sz w:val="24"/>
          <w:szCs w:val="24"/>
          <w:lang w:val="en-US"/>
        </w:rPr>
        <w:t>operational leasing</w:t>
      </w:r>
      <w:r w:rsidRPr="00C35CB8">
        <w:rPr>
          <w:rFonts w:ascii="Titillium Web" w:hAnsi="Titillium Web"/>
          <w:sz w:val="24"/>
          <w:szCs w:val="24"/>
          <w:lang w:val="en-US"/>
        </w:rPr>
        <w:t xml:space="preserve"> business, including contractual ancillary services, increased by 11.9% to RON 290.5 million. This performance was achieved during a period in which many companies became more cautious in their investment decisions, against a backdrop of political and fiscal uncertainty. In this context, the cost predictability and flexibility offered by operational leasing became even more relevant for customers.</w:t>
      </w:r>
    </w:p>
    <w:p w14:paraId="6A3C93A1" w14:textId="77777777" w:rsidR="00C35CB8" w:rsidRPr="00C35CB8" w:rsidRDefault="00C35CB8" w:rsidP="00C35CB8">
      <w:pPr>
        <w:spacing w:after="240"/>
        <w:rPr>
          <w:rFonts w:ascii="Titillium Web" w:hAnsi="Titillium Web"/>
          <w:sz w:val="24"/>
          <w:szCs w:val="24"/>
          <w:lang w:val="en-US"/>
        </w:rPr>
      </w:pPr>
      <w:r w:rsidRPr="00C35CB8">
        <w:rPr>
          <w:rFonts w:ascii="Titillium Web" w:hAnsi="Titillium Web"/>
          <w:sz w:val="24"/>
          <w:szCs w:val="24"/>
          <w:lang w:val="en-US"/>
        </w:rPr>
        <w:lastRenderedPageBreak/>
        <w:t xml:space="preserve">The </w:t>
      </w:r>
      <w:r w:rsidRPr="00C35CB8">
        <w:rPr>
          <w:rFonts w:ascii="Titillium Web" w:hAnsi="Titillium Web"/>
          <w:b/>
          <w:bCs/>
          <w:sz w:val="24"/>
          <w:szCs w:val="24"/>
          <w:lang w:val="en-US"/>
        </w:rPr>
        <w:t>car rental division</w:t>
      </w:r>
      <w:r w:rsidRPr="00C35CB8">
        <w:rPr>
          <w:rFonts w:ascii="Titillium Web" w:hAnsi="Titillium Web"/>
          <w:sz w:val="24"/>
          <w:szCs w:val="24"/>
          <w:lang w:val="en-US"/>
        </w:rPr>
        <w:t xml:space="preserve"> recorded the fastest growth among the company’s service activities, with revenues of RON 71.3 million, up 25% compared with H1 2025. The results were supported by changes in commercial policy, investments in marketing and </w:t>
      </w:r>
      <w:proofErr w:type="spellStart"/>
      <w:r w:rsidRPr="00C35CB8">
        <w:rPr>
          <w:rFonts w:ascii="Titillium Web" w:hAnsi="Titillium Web"/>
          <w:sz w:val="24"/>
          <w:szCs w:val="24"/>
          <w:lang w:val="en-US"/>
        </w:rPr>
        <w:t>digitalisation</w:t>
      </w:r>
      <w:proofErr w:type="spellEnd"/>
      <w:r w:rsidRPr="00C35CB8">
        <w:rPr>
          <w:rFonts w:ascii="Titillium Web" w:hAnsi="Titillium Web"/>
          <w:sz w:val="24"/>
          <w:szCs w:val="24"/>
          <w:lang w:val="en-US"/>
        </w:rPr>
        <w:t xml:space="preserve">, and improvements to </w:t>
      </w:r>
      <w:proofErr w:type="gramStart"/>
      <w:r w:rsidRPr="00C35CB8">
        <w:rPr>
          <w:rFonts w:ascii="Titillium Web" w:hAnsi="Titillium Web"/>
          <w:sz w:val="24"/>
          <w:szCs w:val="24"/>
          <w:lang w:val="en-US"/>
        </w:rPr>
        <w:t>the digital</w:t>
      </w:r>
      <w:proofErr w:type="gramEnd"/>
      <w:r w:rsidRPr="00C35CB8">
        <w:rPr>
          <w:rFonts w:ascii="Titillium Web" w:hAnsi="Titillium Web"/>
          <w:sz w:val="24"/>
          <w:szCs w:val="24"/>
          <w:lang w:val="en-US"/>
        </w:rPr>
        <w:t xml:space="preserve"> experience for retail customers. The positive trend continued in July and August, confirming both the strong level of demand during the summer season and the impact of the initiatives implemented over the past year.</w:t>
      </w:r>
    </w:p>
    <w:p w14:paraId="30F88A50" w14:textId="77777777" w:rsidR="00C35CB8" w:rsidRPr="00C35CB8" w:rsidRDefault="00C35CB8" w:rsidP="00C35CB8">
      <w:pPr>
        <w:spacing w:after="240"/>
        <w:rPr>
          <w:rFonts w:ascii="Titillium Web" w:hAnsi="Titillium Web"/>
          <w:sz w:val="24"/>
          <w:szCs w:val="24"/>
          <w:lang w:val="en-US"/>
        </w:rPr>
      </w:pPr>
      <w:r w:rsidRPr="00C35CB8">
        <w:rPr>
          <w:rFonts w:ascii="Titillium Web" w:hAnsi="Titillium Web"/>
          <w:sz w:val="24"/>
          <w:szCs w:val="24"/>
          <w:lang w:val="en-US"/>
        </w:rPr>
        <w:t xml:space="preserve">In the </w:t>
      </w:r>
      <w:r w:rsidRPr="00C35CB8">
        <w:rPr>
          <w:rFonts w:ascii="Titillium Web" w:hAnsi="Titillium Web"/>
          <w:b/>
          <w:bCs/>
          <w:sz w:val="24"/>
          <w:szCs w:val="24"/>
          <w:lang w:val="en-US"/>
        </w:rPr>
        <w:t>sale of used vehicles and equipment from the fleet</w:t>
      </w:r>
      <w:r w:rsidRPr="00C35CB8">
        <w:rPr>
          <w:rFonts w:ascii="Titillium Web" w:hAnsi="Titillium Web"/>
          <w:sz w:val="24"/>
          <w:szCs w:val="24"/>
          <w:lang w:val="en-US"/>
        </w:rPr>
        <w:t xml:space="preserve">, revenues increased by 15.9% to RON 98.9 million. The evolution of this activity was also influenced by strong demand in the rent-a-car business, which led the company to keep more vehicles in operation and, consequently, to have </w:t>
      </w:r>
      <w:proofErr w:type="gramStart"/>
      <w:r w:rsidRPr="00C35CB8">
        <w:rPr>
          <w:rFonts w:ascii="Titillium Web" w:hAnsi="Titillium Web"/>
          <w:sz w:val="24"/>
          <w:szCs w:val="24"/>
          <w:lang w:val="en-US"/>
        </w:rPr>
        <w:t>a lower</w:t>
      </w:r>
      <w:proofErr w:type="gramEnd"/>
      <w:r w:rsidRPr="00C35CB8">
        <w:rPr>
          <w:rFonts w:ascii="Titillium Web" w:hAnsi="Titillium Web"/>
          <w:sz w:val="24"/>
          <w:szCs w:val="24"/>
          <w:lang w:val="en-US"/>
        </w:rPr>
        <w:t xml:space="preserve"> stock available for sale during the first part of the year. Autonom focuses on the return generated over the full lifecycle of a vehicle, rather than solely on the volume of sales achieved </w:t>
      </w:r>
      <w:proofErr w:type="gramStart"/>
      <w:r w:rsidRPr="00C35CB8">
        <w:rPr>
          <w:rFonts w:ascii="Titillium Web" w:hAnsi="Titillium Web"/>
          <w:sz w:val="24"/>
          <w:szCs w:val="24"/>
          <w:lang w:val="en-US"/>
        </w:rPr>
        <w:t>in a given</w:t>
      </w:r>
      <w:proofErr w:type="gramEnd"/>
      <w:r w:rsidRPr="00C35CB8">
        <w:rPr>
          <w:rFonts w:ascii="Titillium Web" w:hAnsi="Titillium Web"/>
          <w:sz w:val="24"/>
          <w:szCs w:val="24"/>
          <w:lang w:val="en-US"/>
        </w:rPr>
        <w:t xml:space="preserve"> period.</w:t>
      </w:r>
    </w:p>
    <w:p w14:paraId="49DEFE72" w14:textId="77777777" w:rsidR="00C35CB8" w:rsidRPr="00C35CB8" w:rsidRDefault="00C35CB8" w:rsidP="00C35CB8">
      <w:pPr>
        <w:spacing w:after="240"/>
        <w:rPr>
          <w:rFonts w:ascii="Titillium Web" w:hAnsi="Titillium Web"/>
          <w:sz w:val="24"/>
          <w:szCs w:val="24"/>
          <w:lang w:val="en-US"/>
        </w:rPr>
      </w:pPr>
      <w:r w:rsidRPr="00C35CB8">
        <w:rPr>
          <w:rFonts w:ascii="Titillium Web" w:hAnsi="Titillium Web"/>
          <w:sz w:val="24"/>
          <w:szCs w:val="24"/>
          <w:lang w:val="en-US"/>
        </w:rPr>
        <w:t>The company continued to invest in its fleet and growth capacity. The net value of the vehicle fleet and rental equipment reached RON 1.25 billion, up 7.7% compared with the end of last year. As of 30 June, Autonom had contracted and undrawn financing facilities available in an amount equivalent to approximately RON 983 million.</w:t>
      </w:r>
    </w:p>
    <w:p w14:paraId="0AD43E06" w14:textId="77777777" w:rsidR="00C35CB8" w:rsidRPr="00C35CB8" w:rsidRDefault="00C35CB8" w:rsidP="00C35CB8">
      <w:pPr>
        <w:rPr>
          <w:rFonts w:ascii="Titillium Web" w:hAnsi="Titillium Web"/>
          <w:sz w:val="24"/>
          <w:szCs w:val="24"/>
          <w:lang w:val="en-US"/>
        </w:rPr>
      </w:pPr>
      <w:r w:rsidRPr="00C35CB8">
        <w:rPr>
          <w:rFonts w:ascii="Titillium Web" w:hAnsi="Titillium Web"/>
          <w:sz w:val="24"/>
          <w:szCs w:val="24"/>
          <w:lang w:val="en-US"/>
        </w:rPr>
        <w:t>Following the end of the reporting period, in July, Autonom raised EUR 30 million through a new sustainability-linked bond issue maturing in 2031. The AUT31E issue was fully placed at a fixed annual interest rate of 5.97%, while investor demand significantly exceeded the offering. The bonds were listed on the Bucharest Stock Exchange on 27 July 2026.</w:t>
      </w:r>
    </w:p>
    <w:p w14:paraId="0B5C2128" w14:textId="77777777" w:rsidR="00C35CB8" w:rsidRPr="00C35CB8" w:rsidRDefault="00C35CB8" w:rsidP="00C35CB8">
      <w:pPr>
        <w:spacing w:before="240"/>
        <w:rPr>
          <w:rFonts w:ascii="Titillium Web" w:hAnsi="Titillium Web"/>
          <w:sz w:val="24"/>
          <w:szCs w:val="24"/>
          <w:lang w:val="en-US"/>
        </w:rPr>
      </w:pPr>
      <w:r w:rsidRPr="00C35CB8">
        <w:rPr>
          <w:rFonts w:ascii="Titillium Web" w:hAnsi="Titillium Web"/>
          <w:i/>
          <w:iCs/>
          <w:sz w:val="24"/>
          <w:szCs w:val="24"/>
          <w:lang w:val="en-US"/>
        </w:rPr>
        <w:t>“We were very pleased with the level of investor interest in the new bond issue. The fact that we were able to fully place EUR 30 million at a fixed cost that we consider very attractive in the current market environment confirms the strength of the relationship we have built over time with our investors and financing partners,”</w:t>
      </w:r>
      <w:r w:rsidRPr="00C35CB8">
        <w:rPr>
          <w:rFonts w:ascii="Titillium Web" w:hAnsi="Titillium Web"/>
          <w:sz w:val="24"/>
          <w:szCs w:val="24"/>
          <w:lang w:val="en-US"/>
        </w:rPr>
        <w:t xml:space="preserve"> the Autonom founders added.</w:t>
      </w:r>
    </w:p>
    <w:p w14:paraId="6870BF1D" w14:textId="77777777" w:rsidR="00C35CB8" w:rsidRPr="00C35CB8" w:rsidRDefault="00C35CB8" w:rsidP="00C35CB8">
      <w:pPr>
        <w:spacing w:before="240" w:after="240"/>
        <w:rPr>
          <w:rFonts w:ascii="Titillium Web" w:hAnsi="Titillium Web"/>
          <w:sz w:val="24"/>
          <w:szCs w:val="24"/>
          <w:lang w:val="en-US"/>
        </w:rPr>
      </w:pPr>
      <w:r w:rsidRPr="00C35CB8">
        <w:rPr>
          <w:rFonts w:ascii="Titillium Web" w:hAnsi="Titillium Web"/>
          <w:sz w:val="24"/>
          <w:szCs w:val="24"/>
          <w:lang w:val="en-US"/>
        </w:rPr>
        <w:t xml:space="preserve">For the second half of the year, Autonom is maintaining a prudent approach while remaining confident in the outlook for the business. The company will continue to focus on the healthy development of its operational leasing portfolio, the consolidation of results in car rentals, and the </w:t>
      </w:r>
      <w:proofErr w:type="spellStart"/>
      <w:r w:rsidRPr="00C35CB8">
        <w:rPr>
          <w:rFonts w:ascii="Titillium Web" w:hAnsi="Titillium Web"/>
          <w:sz w:val="24"/>
          <w:szCs w:val="24"/>
          <w:lang w:val="en-US"/>
        </w:rPr>
        <w:t>optimisation</w:t>
      </w:r>
      <w:proofErr w:type="spellEnd"/>
      <w:r w:rsidRPr="00C35CB8">
        <w:rPr>
          <w:rFonts w:ascii="Titillium Web" w:hAnsi="Titillium Web"/>
          <w:sz w:val="24"/>
          <w:szCs w:val="24"/>
          <w:lang w:val="en-US"/>
        </w:rPr>
        <w:t xml:space="preserve"> of the way its fleet is used and </w:t>
      </w:r>
      <w:proofErr w:type="spellStart"/>
      <w:r w:rsidRPr="00C35CB8">
        <w:rPr>
          <w:rFonts w:ascii="Titillium Web" w:hAnsi="Titillium Web"/>
          <w:sz w:val="24"/>
          <w:szCs w:val="24"/>
          <w:lang w:val="en-US"/>
        </w:rPr>
        <w:t>monetised</w:t>
      </w:r>
      <w:proofErr w:type="spellEnd"/>
      <w:r w:rsidRPr="00C35CB8">
        <w:rPr>
          <w:rFonts w:ascii="Titillium Web" w:hAnsi="Titillium Web"/>
          <w:sz w:val="24"/>
          <w:szCs w:val="24"/>
          <w:lang w:val="en-US"/>
        </w:rPr>
        <w:t>.</w:t>
      </w:r>
    </w:p>
    <w:p w14:paraId="4860B598" w14:textId="77777777" w:rsidR="00C35CB8" w:rsidRPr="00C35CB8" w:rsidRDefault="00C35CB8" w:rsidP="00C35CB8">
      <w:pPr>
        <w:spacing w:after="240"/>
        <w:rPr>
          <w:rFonts w:ascii="Titillium Web" w:hAnsi="Titillium Web"/>
          <w:sz w:val="24"/>
          <w:szCs w:val="24"/>
          <w:lang w:val="en-US"/>
        </w:rPr>
      </w:pPr>
      <w:r w:rsidRPr="00C35CB8">
        <w:rPr>
          <w:rFonts w:ascii="Titillium Web" w:hAnsi="Titillium Web"/>
          <w:sz w:val="24"/>
          <w:szCs w:val="24"/>
          <w:lang w:val="en-US"/>
        </w:rPr>
        <w:lastRenderedPageBreak/>
        <w:t xml:space="preserve">At the same time, investments in </w:t>
      </w:r>
      <w:proofErr w:type="spellStart"/>
      <w:r w:rsidRPr="00C35CB8">
        <w:rPr>
          <w:rFonts w:ascii="Titillium Web" w:hAnsi="Titillium Web"/>
          <w:sz w:val="24"/>
          <w:szCs w:val="24"/>
          <w:lang w:val="en-US"/>
        </w:rPr>
        <w:t>digitalisation</w:t>
      </w:r>
      <w:proofErr w:type="spellEnd"/>
      <w:r w:rsidRPr="00C35CB8">
        <w:rPr>
          <w:rFonts w:ascii="Titillium Web" w:hAnsi="Titillium Web"/>
          <w:sz w:val="24"/>
          <w:szCs w:val="24"/>
          <w:lang w:val="en-US"/>
        </w:rPr>
        <w:t>, automation and artificial intelligence are continuing. Solutions are being assessed and implemented across all departments to simplify internal processes, improve real-time data analysis and increase efficiency. The focus is not only on technology itself, but also on developing people’s skills so that the new tools can be used as effectively as possible in day-to-day activity.</w:t>
      </w:r>
    </w:p>
    <w:p w14:paraId="41235DF0" w14:textId="77777777" w:rsidR="00C35CB8" w:rsidRPr="00C35CB8" w:rsidRDefault="00C35CB8" w:rsidP="00C35CB8">
      <w:pPr>
        <w:spacing w:after="240"/>
        <w:rPr>
          <w:rFonts w:ascii="Titillium Web" w:hAnsi="Titillium Web"/>
          <w:sz w:val="24"/>
          <w:szCs w:val="24"/>
          <w:lang w:val="en-US"/>
        </w:rPr>
      </w:pPr>
      <w:r w:rsidRPr="00C35CB8">
        <w:rPr>
          <w:rFonts w:ascii="Titillium Web" w:hAnsi="Titillium Web"/>
          <w:sz w:val="24"/>
          <w:szCs w:val="24"/>
          <w:lang w:val="en-US"/>
        </w:rPr>
        <w:t>Also in July, Autonom obtained B Corp certification with a score of 91.2, providing external recognition of the way the company integrates social and environmental impact into its development model.</w:t>
      </w:r>
    </w:p>
    <w:p w14:paraId="04D7923D" w14:textId="77777777" w:rsidR="00C35CB8" w:rsidRPr="00C35CB8" w:rsidRDefault="00C35CB8" w:rsidP="00C35CB8">
      <w:pPr>
        <w:spacing w:after="240"/>
        <w:rPr>
          <w:rFonts w:ascii="Titillium Web" w:hAnsi="Titillium Web"/>
          <w:sz w:val="24"/>
          <w:szCs w:val="24"/>
          <w:lang w:val="en-US"/>
        </w:rPr>
      </w:pPr>
      <w:r w:rsidRPr="00C35CB8">
        <w:rPr>
          <w:rFonts w:ascii="Titillium Web" w:hAnsi="Titillium Web"/>
          <w:i/>
          <w:iCs/>
          <w:sz w:val="24"/>
          <w:szCs w:val="24"/>
          <w:lang w:val="en-US"/>
        </w:rPr>
        <w:t>“We do not believe that the coming months will necessarily be easier. However, over 20 years of activity and through multiple crises, we have learned how to grow precisely in periods when things change quickly. We remain close to our customers, continue to invest in people and technology, and aim to make sound long-term decisions even when there is greater uncertainty in the short term,”</w:t>
      </w:r>
      <w:r w:rsidRPr="00C35CB8">
        <w:rPr>
          <w:rFonts w:ascii="Titillium Web" w:hAnsi="Titillium Web"/>
          <w:sz w:val="24"/>
          <w:szCs w:val="24"/>
          <w:lang w:val="en-US"/>
        </w:rPr>
        <w:t xml:space="preserve"> said Marius and Dan Ștefan, co-founders of Autonom.</w:t>
      </w:r>
    </w:p>
    <w:p w14:paraId="5D11DDAA" w14:textId="77777777" w:rsidR="00C35CB8" w:rsidRPr="00C35CB8" w:rsidRDefault="00C35CB8" w:rsidP="00C35CB8">
      <w:pPr>
        <w:rPr>
          <w:rFonts w:ascii="Titillium Web" w:hAnsi="Titillium Web"/>
          <w:b/>
          <w:bCs/>
          <w:sz w:val="24"/>
          <w:szCs w:val="24"/>
          <w:lang w:val="en-US"/>
        </w:rPr>
      </w:pPr>
      <w:r w:rsidRPr="00C35CB8">
        <w:rPr>
          <w:rFonts w:ascii="Titillium Web" w:hAnsi="Titillium Web"/>
          <w:b/>
          <w:bCs/>
          <w:sz w:val="24"/>
          <w:szCs w:val="24"/>
          <w:lang w:val="en-US"/>
        </w:rPr>
        <w:t>About Autonom</w:t>
      </w:r>
    </w:p>
    <w:p w14:paraId="1171A2BE" w14:textId="77777777" w:rsidR="00C35CB8" w:rsidRPr="00C35CB8" w:rsidRDefault="00C35CB8" w:rsidP="00C35CB8">
      <w:pPr>
        <w:rPr>
          <w:rFonts w:ascii="Titillium Web" w:hAnsi="Titillium Web"/>
          <w:sz w:val="24"/>
          <w:szCs w:val="24"/>
          <w:lang w:val="en-US"/>
        </w:rPr>
      </w:pPr>
      <w:r w:rsidRPr="00C35CB8">
        <w:rPr>
          <w:rFonts w:ascii="Titillium Web" w:hAnsi="Titillium Web"/>
          <w:sz w:val="24"/>
          <w:szCs w:val="24"/>
          <w:lang w:val="en-US"/>
        </w:rPr>
        <w:t xml:space="preserve">Autonom is a 100% Romanian-owned company founded in 2006 in Piatra </w:t>
      </w:r>
      <w:proofErr w:type="spellStart"/>
      <w:r w:rsidRPr="00C35CB8">
        <w:rPr>
          <w:rFonts w:ascii="Titillium Web" w:hAnsi="Titillium Web"/>
          <w:sz w:val="24"/>
          <w:szCs w:val="24"/>
          <w:lang w:val="en-US"/>
        </w:rPr>
        <w:t>Neamț</w:t>
      </w:r>
      <w:proofErr w:type="spellEnd"/>
      <w:r w:rsidRPr="00C35CB8">
        <w:rPr>
          <w:rFonts w:ascii="Titillium Web" w:hAnsi="Titillium Web"/>
          <w:sz w:val="24"/>
          <w:szCs w:val="24"/>
          <w:lang w:val="en-US"/>
        </w:rPr>
        <w:t xml:space="preserve"> and ranks among the top three players by turnover in its main areas of activity: operational leasing and car rental.</w:t>
      </w:r>
    </w:p>
    <w:p w14:paraId="4F7D20A6" w14:textId="77777777" w:rsidR="00C35CB8" w:rsidRPr="00C35CB8" w:rsidRDefault="00C35CB8" w:rsidP="00C35CB8">
      <w:pPr>
        <w:rPr>
          <w:rFonts w:ascii="Titillium Web" w:hAnsi="Titillium Web"/>
          <w:sz w:val="24"/>
          <w:szCs w:val="24"/>
          <w:lang w:val="en-US"/>
        </w:rPr>
      </w:pPr>
      <w:r w:rsidRPr="00C35CB8">
        <w:rPr>
          <w:rFonts w:ascii="Titillium Web" w:hAnsi="Titillium Web"/>
          <w:sz w:val="24"/>
          <w:szCs w:val="24"/>
          <w:lang w:val="en-US"/>
        </w:rPr>
        <w:t>The company provides modern mobility and financing solutions including short- and medium-term car rentals, operational leasing, chauffeur-driven transfers, temporary fleet rental, fleet management services, roadside assistance, car wash services and equipment rental. These services are delivered through a unique national network covering 36 cities across Romania, while the company operates a fleet of more than 18,000 vehicles.</w:t>
      </w:r>
    </w:p>
    <w:p w14:paraId="7D36ECBE" w14:textId="674CB713" w:rsidR="006B4A31" w:rsidRPr="00C35CB8" w:rsidRDefault="006B4A31" w:rsidP="005C2FD9">
      <w:pPr>
        <w:rPr>
          <w:rFonts w:ascii="Titilium Web" w:hAnsi="Titilium Web"/>
          <w:lang w:val="en-US"/>
        </w:rPr>
      </w:pPr>
    </w:p>
    <w:sectPr w:rsidR="006B4A31" w:rsidRPr="00C35CB8" w:rsidSect="00C11D0D">
      <w:headerReference w:type="even" r:id="rId8"/>
      <w:headerReference w:type="default" r:id="rId9"/>
      <w:footerReference w:type="even" r:id="rId10"/>
      <w:footerReference w:type="default" r:id="rId11"/>
      <w:headerReference w:type="first" r:id="rId12"/>
      <w:footerReference w:type="first" r:id="rId13"/>
      <w:pgSz w:w="11906" w:h="16838" w:code="9"/>
      <w:pgMar w:top="1928" w:right="1134" w:bottom="1928" w:left="1134" w:header="737" w:footer="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8E31B" w14:textId="77777777" w:rsidR="005A32A8" w:rsidRDefault="005A32A8" w:rsidP="00586F8E">
      <w:pPr>
        <w:spacing w:line="240" w:lineRule="auto"/>
      </w:pPr>
      <w:r>
        <w:separator/>
      </w:r>
    </w:p>
  </w:endnote>
  <w:endnote w:type="continuationSeparator" w:id="0">
    <w:p w14:paraId="45E84356" w14:textId="77777777" w:rsidR="005A32A8" w:rsidRDefault="005A32A8" w:rsidP="00586F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ium Web">
    <w:altName w:val="Cambria"/>
    <w:panose1 w:val="00000000000000000000"/>
    <w:charset w:val="00"/>
    <w:family w:val="roman"/>
    <w:notTrueType/>
    <w:pitch w:val="default"/>
  </w:font>
  <w:font w:name="Titillium Web">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1C02" w14:textId="77777777" w:rsidR="001F49A7" w:rsidRDefault="001F49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70D23" w14:textId="7CD55C03" w:rsidR="00521783" w:rsidRPr="007D7B9B" w:rsidRDefault="001F49A7" w:rsidP="007D7B9B">
    <w:pPr>
      <w:pStyle w:val="Footer"/>
    </w:pPr>
    <w:r>
      <w:rPr>
        <w:noProof/>
      </w:rPr>
      <w:drawing>
        <wp:anchor distT="0" distB="0" distL="114300" distR="114300" simplePos="0" relativeHeight="251670528" behindDoc="1" locked="0" layoutInCell="1" allowOverlap="1" wp14:anchorId="2037D208" wp14:editId="30568A4F">
          <wp:simplePos x="0" y="0"/>
          <wp:positionH relativeFrom="column">
            <wp:posOffset>-694689</wp:posOffset>
          </wp:positionH>
          <wp:positionV relativeFrom="paragraph">
            <wp:posOffset>-820635</wp:posOffset>
          </wp:positionV>
          <wp:extent cx="7503712" cy="967744"/>
          <wp:effectExtent l="0" t="0" r="2540" b="381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9697" cy="976254"/>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F937E" w14:textId="77777777" w:rsidR="001F49A7" w:rsidRDefault="001F4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C3D7D" w14:textId="77777777" w:rsidR="005A32A8" w:rsidRDefault="005A32A8" w:rsidP="00586F8E">
      <w:pPr>
        <w:spacing w:line="240" w:lineRule="auto"/>
      </w:pPr>
      <w:r>
        <w:separator/>
      </w:r>
    </w:p>
  </w:footnote>
  <w:footnote w:type="continuationSeparator" w:id="0">
    <w:p w14:paraId="675BA19E" w14:textId="77777777" w:rsidR="005A32A8" w:rsidRDefault="005A32A8" w:rsidP="00586F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6F920" w14:textId="77777777" w:rsidR="001F49A7" w:rsidRDefault="001F49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A4827" w14:textId="6AF98DA2" w:rsidR="002C5B43" w:rsidRPr="00930931" w:rsidRDefault="00283820" w:rsidP="006B4A31">
    <w:pPr>
      <w:pStyle w:val="Header"/>
      <w:rPr>
        <w:b/>
        <w:bCs/>
      </w:rPr>
    </w:pPr>
    <w:r>
      <w:rPr>
        <w:noProof/>
      </w:rPr>
      <w:drawing>
        <wp:anchor distT="0" distB="0" distL="114300" distR="114300" simplePos="0" relativeHeight="251671552" behindDoc="1" locked="0" layoutInCell="1" allowOverlap="1" wp14:anchorId="02BB7F89" wp14:editId="0EA5CA89">
          <wp:simplePos x="0" y="0"/>
          <wp:positionH relativeFrom="column">
            <wp:posOffset>-694055</wp:posOffset>
          </wp:positionH>
          <wp:positionV relativeFrom="paragraph">
            <wp:posOffset>-430530</wp:posOffset>
          </wp:positionV>
          <wp:extent cx="7498790" cy="967109"/>
          <wp:effectExtent l="0" t="0" r="6985" b="4445"/>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498790" cy="96710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8330E" w14:textId="77777777" w:rsidR="001F49A7" w:rsidRDefault="001F4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38E33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9B062B"/>
    <w:multiLevelType w:val="hybridMultilevel"/>
    <w:tmpl w:val="BBA655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46179CE"/>
    <w:multiLevelType w:val="hybridMultilevel"/>
    <w:tmpl w:val="6E22A7C0"/>
    <w:lvl w:ilvl="0" w:tplc="4DD6822C">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F0D4333"/>
    <w:multiLevelType w:val="hybridMultilevel"/>
    <w:tmpl w:val="5796A8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57B6ED5"/>
    <w:multiLevelType w:val="hybridMultilevel"/>
    <w:tmpl w:val="14F416E4"/>
    <w:lvl w:ilvl="0" w:tplc="7BBC68D4">
      <w:start w:val="1"/>
      <w:numFmt w:val="decimal"/>
      <w:lvlText w:val="6.%1."/>
      <w:lvlJc w:val="left"/>
      <w:pPr>
        <w:ind w:left="397" w:hanging="397"/>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7323143"/>
    <w:multiLevelType w:val="hybridMultilevel"/>
    <w:tmpl w:val="05746B9C"/>
    <w:lvl w:ilvl="0" w:tplc="1C9CF410">
      <w:start w:val="1"/>
      <w:numFmt w:val="decimal"/>
      <w:lvlText w:val="2.%1."/>
      <w:lvlJc w:val="left"/>
      <w:pPr>
        <w:ind w:left="397" w:hanging="397"/>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73D6A06"/>
    <w:multiLevelType w:val="hybridMultilevel"/>
    <w:tmpl w:val="02746D4A"/>
    <w:lvl w:ilvl="0" w:tplc="45681EDA">
      <w:numFmt w:val="bullet"/>
      <w:lvlText w:val="•"/>
      <w:lvlJc w:val="left"/>
      <w:pPr>
        <w:ind w:left="1068" w:hanging="708"/>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7FD3420"/>
    <w:multiLevelType w:val="hybridMultilevel"/>
    <w:tmpl w:val="79FA0FA2"/>
    <w:lvl w:ilvl="0" w:tplc="04180001">
      <w:start w:val="1"/>
      <w:numFmt w:val="bullet"/>
      <w:lvlText w:val=""/>
      <w:lvlJc w:val="left"/>
      <w:pPr>
        <w:ind w:left="624" w:hanging="227"/>
      </w:pPr>
      <w:rPr>
        <w:rFonts w:ascii="Symbol" w:hAnsi="Symbol" w:hint="default"/>
      </w:rPr>
    </w:lvl>
    <w:lvl w:ilvl="1" w:tplc="04180019" w:tentative="1">
      <w:start w:val="1"/>
      <w:numFmt w:val="lowerLetter"/>
      <w:lvlText w:val="%2."/>
      <w:lvlJc w:val="left"/>
      <w:pPr>
        <w:ind w:left="873" w:hanging="360"/>
      </w:pPr>
    </w:lvl>
    <w:lvl w:ilvl="2" w:tplc="0418001B" w:tentative="1">
      <w:start w:val="1"/>
      <w:numFmt w:val="lowerRoman"/>
      <w:lvlText w:val="%3."/>
      <w:lvlJc w:val="right"/>
      <w:pPr>
        <w:ind w:left="1593" w:hanging="180"/>
      </w:pPr>
    </w:lvl>
    <w:lvl w:ilvl="3" w:tplc="0418000F" w:tentative="1">
      <w:start w:val="1"/>
      <w:numFmt w:val="decimal"/>
      <w:lvlText w:val="%4."/>
      <w:lvlJc w:val="left"/>
      <w:pPr>
        <w:ind w:left="2313" w:hanging="360"/>
      </w:pPr>
    </w:lvl>
    <w:lvl w:ilvl="4" w:tplc="04180019" w:tentative="1">
      <w:start w:val="1"/>
      <w:numFmt w:val="lowerLetter"/>
      <w:lvlText w:val="%5."/>
      <w:lvlJc w:val="left"/>
      <w:pPr>
        <w:ind w:left="3033" w:hanging="360"/>
      </w:pPr>
    </w:lvl>
    <w:lvl w:ilvl="5" w:tplc="0418001B" w:tentative="1">
      <w:start w:val="1"/>
      <w:numFmt w:val="lowerRoman"/>
      <w:lvlText w:val="%6."/>
      <w:lvlJc w:val="right"/>
      <w:pPr>
        <w:ind w:left="3753" w:hanging="180"/>
      </w:pPr>
    </w:lvl>
    <w:lvl w:ilvl="6" w:tplc="0418000F" w:tentative="1">
      <w:start w:val="1"/>
      <w:numFmt w:val="decimal"/>
      <w:lvlText w:val="%7."/>
      <w:lvlJc w:val="left"/>
      <w:pPr>
        <w:ind w:left="4473" w:hanging="360"/>
      </w:pPr>
    </w:lvl>
    <w:lvl w:ilvl="7" w:tplc="04180019" w:tentative="1">
      <w:start w:val="1"/>
      <w:numFmt w:val="lowerLetter"/>
      <w:lvlText w:val="%8."/>
      <w:lvlJc w:val="left"/>
      <w:pPr>
        <w:ind w:left="5193" w:hanging="360"/>
      </w:pPr>
    </w:lvl>
    <w:lvl w:ilvl="8" w:tplc="0418001B" w:tentative="1">
      <w:start w:val="1"/>
      <w:numFmt w:val="lowerRoman"/>
      <w:lvlText w:val="%9."/>
      <w:lvlJc w:val="right"/>
      <w:pPr>
        <w:ind w:left="5913" w:hanging="180"/>
      </w:pPr>
    </w:lvl>
  </w:abstractNum>
  <w:abstractNum w:abstractNumId="8" w15:restartNumberingAfterBreak="0">
    <w:nsid w:val="520E287E"/>
    <w:multiLevelType w:val="hybridMultilevel"/>
    <w:tmpl w:val="49E4420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50D1129"/>
    <w:multiLevelType w:val="hybridMultilevel"/>
    <w:tmpl w:val="E820B312"/>
    <w:lvl w:ilvl="0" w:tplc="57B0839E">
      <w:start w:val="1"/>
      <w:numFmt w:val="decimal"/>
      <w:lvlText w:val="4.%1."/>
      <w:lvlJc w:val="left"/>
      <w:pPr>
        <w:ind w:left="397" w:hanging="397"/>
      </w:pPr>
      <w:rPr>
        <w:rFonts w:hint="default"/>
        <w:b/>
        <w:bCs/>
      </w:rPr>
    </w:lvl>
    <w:lvl w:ilvl="1" w:tplc="BC42ABF8">
      <w:start w:val="1"/>
      <w:numFmt w:val="lowerLetter"/>
      <w:lvlText w:val="%2)"/>
      <w:lvlJc w:val="left"/>
      <w:pPr>
        <w:ind w:left="1191" w:hanging="227"/>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5AF744C"/>
    <w:multiLevelType w:val="multilevel"/>
    <w:tmpl w:val="01E03A78"/>
    <w:lvl w:ilvl="0">
      <w:start w:val="1"/>
      <w:numFmt w:val="decimal"/>
      <w:lvlText w:val="1.%1."/>
      <w:lvlJc w:val="left"/>
      <w:pPr>
        <w:ind w:left="468" w:hanging="468"/>
      </w:pPr>
      <w:rPr>
        <w:rFonts w:hint="default"/>
      </w:rPr>
    </w:lvl>
    <w:lvl w:ilvl="1">
      <w:start w:val="1"/>
      <w:numFmt w:val="decimal"/>
      <w:pStyle w:val="Listanumerica"/>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9DF7ACF"/>
    <w:multiLevelType w:val="hybridMultilevel"/>
    <w:tmpl w:val="C01A5880"/>
    <w:lvl w:ilvl="0" w:tplc="1C9CF410">
      <w:start w:val="1"/>
      <w:numFmt w:val="decimal"/>
      <w:lvlText w:val="2.%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615123A6"/>
    <w:multiLevelType w:val="hybridMultilevel"/>
    <w:tmpl w:val="C5F4DE6C"/>
    <w:lvl w:ilvl="0" w:tplc="83CC8CD6">
      <w:start w:val="1"/>
      <w:numFmt w:val="decimal"/>
      <w:lvlText w:val="2.%1."/>
      <w:lvlJc w:val="left"/>
      <w:pPr>
        <w:ind w:left="397" w:hanging="397"/>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7FC6C02"/>
    <w:multiLevelType w:val="hybridMultilevel"/>
    <w:tmpl w:val="3EA6C7BC"/>
    <w:lvl w:ilvl="0" w:tplc="61BC0376">
      <w:start w:val="1"/>
      <w:numFmt w:val="decimal"/>
      <w:lvlText w:val="5.%1."/>
      <w:lvlJc w:val="left"/>
      <w:pPr>
        <w:ind w:left="397" w:hanging="397"/>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9E10AE7"/>
    <w:multiLevelType w:val="hybridMultilevel"/>
    <w:tmpl w:val="FC443F7E"/>
    <w:lvl w:ilvl="0" w:tplc="3BACA7D6">
      <w:start w:val="1"/>
      <w:numFmt w:val="decimal"/>
      <w:lvlText w:val="3.%1."/>
      <w:lvlJc w:val="left"/>
      <w:pPr>
        <w:ind w:left="397" w:hanging="397"/>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E5F5268"/>
    <w:multiLevelType w:val="hybridMultilevel"/>
    <w:tmpl w:val="D284C3F2"/>
    <w:lvl w:ilvl="0" w:tplc="C638DD66">
      <w:start w:val="1"/>
      <w:numFmt w:val="decimal"/>
      <w:lvlText w:val="1.%1."/>
      <w:lvlJc w:val="left"/>
      <w:pPr>
        <w:ind w:left="397" w:hanging="397"/>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989700281">
    <w:abstractNumId w:val="0"/>
  </w:num>
  <w:num w:numId="2" w16cid:durableId="320817015">
    <w:abstractNumId w:val="8"/>
  </w:num>
  <w:num w:numId="3" w16cid:durableId="898713973">
    <w:abstractNumId w:val="10"/>
  </w:num>
  <w:num w:numId="4" w16cid:durableId="9611067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8237020">
    <w:abstractNumId w:val="10"/>
  </w:num>
  <w:num w:numId="6" w16cid:durableId="7574876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8912458">
    <w:abstractNumId w:val="15"/>
  </w:num>
  <w:num w:numId="8" w16cid:durableId="1830561420">
    <w:abstractNumId w:val="11"/>
  </w:num>
  <w:num w:numId="9" w16cid:durableId="471212775">
    <w:abstractNumId w:val="12"/>
  </w:num>
  <w:num w:numId="10" w16cid:durableId="1017541088">
    <w:abstractNumId w:val="5"/>
  </w:num>
  <w:num w:numId="11" w16cid:durableId="652178717">
    <w:abstractNumId w:val="14"/>
  </w:num>
  <w:num w:numId="12" w16cid:durableId="825973912">
    <w:abstractNumId w:val="9"/>
  </w:num>
  <w:num w:numId="13" w16cid:durableId="173346624">
    <w:abstractNumId w:val="13"/>
  </w:num>
  <w:num w:numId="14" w16cid:durableId="647629318">
    <w:abstractNumId w:val="7"/>
  </w:num>
  <w:num w:numId="15" w16cid:durableId="1442262656">
    <w:abstractNumId w:val="2"/>
  </w:num>
  <w:num w:numId="16" w16cid:durableId="275796458">
    <w:abstractNumId w:val="4"/>
  </w:num>
  <w:num w:numId="17" w16cid:durableId="150608372">
    <w:abstractNumId w:val="3"/>
  </w:num>
  <w:num w:numId="18" w16cid:durableId="1068575864">
    <w:abstractNumId w:val="6"/>
  </w:num>
  <w:num w:numId="19" w16cid:durableId="1264846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3DC"/>
    <w:rsid w:val="0000296A"/>
    <w:rsid w:val="00004C5B"/>
    <w:rsid w:val="0003296E"/>
    <w:rsid w:val="000D5E58"/>
    <w:rsid w:val="000D76A3"/>
    <w:rsid w:val="000F5F69"/>
    <w:rsid w:val="0015626C"/>
    <w:rsid w:val="001824F8"/>
    <w:rsid w:val="00195ADF"/>
    <w:rsid w:val="001964AF"/>
    <w:rsid w:val="001C3E03"/>
    <w:rsid w:val="001D4C75"/>
    <w:rsid w:val="001F3D84"/>
    <w:rsid w:val="001F49A7"/>
    <w:rsid w:val="001F74DB"/>
    <w:rsid w:val="00252FEB"/>
    <w:rsid w:val="00272008"/>
    <w:rsid w:val="00283820"/>
    <w:rsid w:val="002C5B43"/>
    <w:rsid w:val="00303A3E"/>
    <w:rsid w:val="003A6E1B"/>
    <w:rsid w:val="003C582C"/>
    <w:rsid w:val="00402AD3"/>
    <w:rsid w:val="005036D9"/>
    <w:rsid w:val="00521783"/>
    <w:rsid w:val="005809D8"/>
    <w:rsid w:val="00586F8E"/>
    <w:rsid w:val="00590E17"/>
    <w:rsid w:val="005A32A8"/>
    <w:rsid w:val="005C2FD9"/>
    <w:rsid w:val="00632692"/>
    <w:rsid w:val="00632F5E"/>
    <w:rsid w:val="006352B7"/>
    <w:rsid w:val="00660ECE"/>
    <w:rsid w:val="00666691"/>
    <w:rsid w:val="00691C65"/>
    <w:rsid w:val="006B4A31"/>
    <w:rsid w:val="006D2009"/>
    <w:rsid w:val="006E37F7"/>
    <w:rsid w:val="00700FAD"/>
    <w:rsid w:val="00722A94"/>
    <w:rsid w:val="00724ACB"/>
    <w:rsid w:val="00750A7D"/>
    <w:rsid w:val="00757CD8"/>
    <w:rsid w:val="007965F6"/>
    <w:rsid w:val="007C6538"/>
    <w:rsid w:val="007D7B9B"/>
    <w:rsid w:val="00870A05"/>
    <w:rsid w:val="008E5340"/>
    <w:rsid w:val="00930931"/>
    <w:rsid w:val="00A359F7"/>
    <w:rsid w:val="00A954E7"/>
    <w:rsid w:val="00AD779D"/>
    <w:rsid w:val="00AF077E"/>
    <w:rsid w:val="00B415AB"/>
    <w:rsid w:val="00B803DC"/>
    <w:rsid w:val="00BE55C4"/>
    <w:rsid w:val="00C11D0D"/>
    <w:rsid w:val="00C35CB8"/>
    <w:rsid w:val="00C40AAB"/>
    <w:rsid w:val="00C50256"/>
    <w:rsid w:val="00C74631"/>
    <w:rsid w:val="00CA79AD"/>
    <w:rsid w:val="00D013D4"/>
    <w:rsid w:val="00D142AF"/>
    <w:rsid w:val="00DE16CE"/>
    <w:rsid w:val="00E11BB7"/>
    <w:rsid w:val="00E501E1"/>
    <w:rsid w:val="00EB3513"/>
    <w:rsid w:val="00EE0C03"/>
    <w:rsid w:val="00F74BDF"/>
  </w:rsids>
  <m:mathPr>
    <m:mathFont m:val="Cambria Math"/>
    <m:brkBin m:val="before"/>
    <m:brkBinSub m:val="--"/>
    <m:smallFrac m:val="0"/>
    <m:dispDef/>
    <m:lMargin m:val="0"/>
    <m:rMargin m:val="0"/>
    <m:defJc m:val="centerGroup"/>
    <m:wrapIndent m:val="1440"/>
    <m:intLim m:val="subSup"/>
    <m:naryLim m:val="undOvr"/>
  </m:mathPr>
  <w:themeFontLang w:val="en-US" w:eastAsia="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98CE8"/>
  <w15:chartTrackingRefBased/>
  <w15:docId w15:val="{BEA878FE-52B5-4A37-B2EE-0C4AA4A98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f"/>
    <w:qFormat/>
    <w:rsid w:val="00521783"/>
    <w:pPr>
      <w:spacing w:after="0" w:line="264" w:lineRule="auto"/>
      <w:jc w:val="both"/>
    </w:pPr>
    <w:rPr>
      <w:rFonts w:ascii="Arial" w:hAnsi="Arial"/>
      <w:sz w:val="20"/>
    </w:rPr>
  </w:style>
  <w:style w:type="paragraph" w:styleId="Heading1">
    <w:name w:val="heading 1"/>
    <w:aliases w:val="Title"/>
    <w:basedOn w:val="Normal"/>
    <w:next w:val="Normal"/>
    <w:link w:val="Heading1Char"/>
    <w:uiPriority w:val="9"/>
    <w:qFormat/>
    <w:rsid w:val="002C5B43"/>
    <w:pPr>
      <w:keepNext/>
      <w:keepLines/>
      <w:jc w:val="center"/>
      <w:outlineLvl w:val="0"/>
    </w:pPr>
    <w:rPr>
      <w:rFonts w:eastAsiaTheme="majorEastAsia" w:cstheme="majorBidi"/>
      <w:b/>
      <w:color w:val="0A01A4"/>
      <w:sz w:val="26"/>
      <w:szCs w:val="32"/>
    </w:rPr>
  </w:style>
  <w:style w:type="paragraph" w:styleId="Heading2">
    <w:name w:val="heading 2"/>
    <w:aliases w:val="Subtitle"/>
    <w:basedOn w:val="Normal"/>
    <w:next w:val="Normal"/>
    <w:link w:val="Heading2Char"/>
    <w:uiPriority w:val="9"/>
    <w:unhideWhenUsed/>
    <w:qFormat/>
    <w:rsid w:val="00757CD8"/>
    <w:pPr>
      <w:keepNext/>
      <w:keepLines/>
      <w:spacing w:before="40"/>
      <w:outlineLvl w:val="1"/>
    </w:pPr>
    <w:rPr>
      <w:rFonts w:eastAsiaTheme="majorEastAsia" w:cstheme="majorBidi"/>
      <w:b/>
      <w:color w:val="007FC4"/>
      <w:sz w:val="24"/>
      <w:szCs w:val="26"/>
    </w:rPr>
  </w:style>
  <w:style w:type="paragraph" w:styleId="Heading3">
    <w:name w:val="heading 3"/>
    <w:basedOn w:val="Normal"/>
    <w:next w:val="Normal"/>
    <w:link w:val="Heading3Char"/>
    <w:uiPriority w:val="9"/>
    <w:semiHidden/>
    <w:unhideWhenUsed/>
    <w:rsid w:val="00586F8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F8E"/>
    <w:pPr>
      <w:tabs>
        <w:tab w:val="center" w:pos="4513"/>
        <w:tab w:val="right" w:pos="9026"/>
      </w:tabs>
      <w:spacing w:line="240" w:lineRule="auto"/>
    </w:pPr>
  </w:style>
  <w:style w:type="character" w:customStyle="1" w:styleId="HeaderChar">
    <w:name w:val="Header Char"/>
    <w:basedOn w:val="DefaultParagraphFont"/>
    <w:link w:val="Header"/>
    <w:uiPriority w:val="99"/>
    <w:rsid w:val="00586F8E"/>
  </w:style>
  <w:style w:type="paragraph" w:styleId="Footer">
    <w:name w:val="footer"/>
    <w:basedOn w:val="Normal"/>
    <w:link w:val="FooterChar"/>
    <w:uiPriority w:val="99"/>
    <w:unhideWhenUsed/>
    <w:rsid w:val="00586F8E"/>
    <w:pPr>
      <w:tabs>
        <w:tab w:val="center" w:pos="4513"/>
        <w:tab w:val="right" w:pos="9026"/>
      </w:tabs>
      <w:spacing w:line="240" w:lineRule="auto"/>
    </w:pPr>
  </w:style>
  <w:style w:type="character" w:customStyle="1" w:styleId="FooterChar">
    <w:name w:val="Footer Char"/>
    <w:basedOn w:val="DefaultParagraphFont"/>
    <w:link w:val="Footer"/>
    <w:uiPriority w:val="99"/>
    <w:rsid w:val="00586F8E"/>
  </w:style>
  <w:style w:type="paragraph" w:styleId="Title">
    <w:name w:val="Title"/>
    <w:aliases w:val="Title coperta"/>
    <w:basedOn w:val="Normal"/>
    <w:next w:val="Normal"/>
    <w:link w:val="TitleChar"/>
    <w:uiPriority w:val="10"/>
    <w:qFormat/>
    <w:rsid w:val="00586F8E"/>
    <w:pPr>
      <w:spacing w:line="240" w:lineRule="auto"/>
      <w:contextualSpacing/>
      <w:jc w:val="center"/>
    </w:pPr>
    <w:rPr>
      <w:rFonts w:eastAsiaTheme="majorEastAsia" w:cstheme="majorBidi"/>
      <w:b/>
      <w:color w:val="273691"/>
      <w:spacing w:val="-10"/>
      <w:kern w:val="28"/>
      <w:sz w:val="48"/>
      <w:szCs w:val="56"/>
    </w:rPr>
  </w:style>
  <w:style w:type="character" w:customStyle="1" w:styleId="TitleChar">
    <w:name w:val="Title Char"/>
    <w:aliases w:val="Title coperta Char"/>
    <w:basedOn w:val="DefaultParagraphFont"/>
    <w:link w:val="Title"/>
    <w:uiPriority w:val="10"/>
    <w:rsid w:val="00586F8E"/>
    <w:rPr>
      <w:rFonts w:ascii="Arial" w:eastAsiaTheme="majorEastAsia" w:hAnsi="Arial" w:cstheme="majorBidi"/>
      <w:b/>
      <w:color w:val="273691"/>
      <w:spacing w:val="-10"/>
      <w:kern w:val="28"/>
      <w:sz w:val="48"/>
      <w:szCs w:val="56"/>
    </w:rPr>
  </w:style>
  <w:style w:type="character" w:customStyle="1" w:styleId="Heading1Char">
    <w:name w:val="Heading 1 Char"/>
    <w:aliases w:val="Title Char1"/>
    <w:basedOn w:val="DefaultParagraphFont"/>
    <w:link w:val="Heading1"/>
    <w:uiPriority w:val="9"/>
    <w:rsid w:val="002C5B43"/>
    <w:rPr>
      <w:rFonts w:ascii="Arial" w:eastAsiaTheme="majorEastAsia" w:hAnsi="Arial" w:cstheme="majorBidi"/>
      <w:b/>
      <w:color w:val="0A01A4"/>
      <w:sz w:val="26"/>
      <w:szCs w:val="32"/>
    </w:rPr>
  </w:style>
  <w:style w:type="character" w:customStyle="1" w:styleId="Heading2Char">
    <w:name w:val="Heading 2 Char"/>
    <w:aliases w:val="Subtitle Char"/>
    <w:basedOn w:val="DefaultParagraphFont"/>
    <w:link w:val="Heading2"/>
    <w:uiPriority w:val="9"/>
    <w:rsid w:val="00757CD8"/>
    <w:rPr>
      <w:rFonts w:ascii="Arial" w:eastAsiaTheme="majorEastAsia" w:hAnsi="Arial" w:cstheme="majorBidi"/>
      <w:b/>
      <w:color w:val="007FC4"/>
      <w:sz w:val="24"/>
      <w:szCs w:val="26"/>
    </w:rPr>
  </w:style>
  <w:style w:type="character" w:customStyle="1" w:styleId="Heading3Char">
    <w:name w:val="Heading 3 Char"/>
    <w:basedOn w:val="DefaultParagraphFont"/>
    <w:link w:val="Heading3"/>
    <w:uiPriority w:val="9"/>
    <w:semiHidden/>
    <w:rsid w:val="00586F8E"/>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link w:val="ListParagraphChar"/>
    <w:uiPriority w:val="34"/>
    <w:rsid w:val="00586F8E"/>
    <w:pPr>
      <w:ind w:left="720"/>
      <w:contextualSpacing/>
    </w:pPr>
  </w:style>
  <w:style w:type="paragraph" w:customStyle="1" w:styleId="Lista">
    <w:name w:val="Lista"/>
    <w:basedOn w:val="ListBullet"/>
    <w:link w:val="ListaChar"/>
    <w:qFormat/>
    <w:rsid w:val="00586F8E"/>
    <w:pPr>
      <w:ind w:left="227" w:hanging="227"/>
    </w:pPr>
  </w:style>
  <w:style w:type="paragraph" w:customStyle="1" w:styleId="AutNormal">
    <w:name w:val="Aut_Normal"/>
    <w:basedOn w:val="Normal"/>
    <w:link w:val="AutNormalCaracter"/>
    <w:autoRedefine/>
    <w:rsid w:val="00586F8E"/>
    <w:rPr>
      <w:rFonts w:ascii="Calibri" w:hAnsi="Calibri"/>
      <w:color w:val="000000"/>
      <w:sz w:val="24"/>
      <w:szCs w:val="24"/>
    </w:rPr>
  </w:style>
  <w:style w:type="character" w:customStyle="1" w:styleId="ListaChar">
    <w:name w:val="Lista Char"/>
    <w:basedOn w:val="DefaultParagraphFont"/>
    <w:link w:val="Lista"/>
    <w:rsid w:val="00586F8E"/>
    <w:rPr>
      <w:rFonts w:ascii="Arial" w:hAnsi="Arial"/>
    </w:rPr>
  </w:style>
  <w:style w:type="character" w:customStyle="1" w:styleId="AutNormalCaracter">
    <w:name w:val="Aut_Normal Caracter"/>
    <w:basedOn w:val="DefaultParagraphFont"/>
    <w:link w:val="AutNormal"/>
    <w:rsid w:val="00586F8E"/>
    <w:rPr>
      <w:rFonts w:ascii="Calibri" w:hAnsi="Calibri"/>
      <w:color w:val="000000"/>
      <w:sz w:val="24"/>
      <w:szCs w:val="24"/>
    </w:rPr>
  </w:style>
  <w:style w:type="paragraph" w:styleId="ListBullet">
    <w:name w:val="List Bullet"/>
    <w:basedOn w:val="Normal"/>
    <w:uiPriority w:val="99"/>
    <w:semiHidden/>
    <w:unhideWhenUsed/>
    <w:rsid w:val="00586F8E"/>
    <w:pPr>
      <w:numPr>
        <w:numId w:val="1"/>
      </w:numPr>
      <w:contextualSpacing/>
    </w:pPr>
  </w:style>
  <w:style w:type="paragraph" w:customStyle="1" w:styleId="Listanumerica">
    <w:name w:val="Lista numerica"/>
    <w:basedOn w:val="ListParagraph"/>
    <w:link w:val="ListanumericaChar"/>
    <w:qFormat/>
    <w:rsid w:val="00521783"/>
    <w:pPr>
      <w:numPr>
        <w:ilvl w:val="1"/>
        <w:numId w:val="5"/>
      </w:numPr>
    </w:pPr>
  </w:style>
  <w:style w:type="paragraph" w:styleId="BalloonText">
    <w:name w:val="Balloon Text"/>
    <w:basedOn w:val="Normal"/>
    <w:link w:val="BalloonTextChar"/>
    <w:uiPriority w:val="99"/>
    <w:semiHidden/>
    <w:unhideWhenUsed/>
    <w:rsid w:val="00521783"/>
    <w:pPr>
      <w:spacing w:line="240" w:lineRule="auto"/>
    </w:pPr>
    <w:rPr>
      <w:rFonts w:ascii="Segoe UI" w:hAnsi="Segoe UI" w:cs="Segoe UI"/>
      <w:sz w:val="18"/>
      <w:szCs w:val="18"/>
    </w:rPr>
  </w:style>
  <w:style w:type="character" w:customStyle="1" w:styleId="ListParagraphChar">
    <w:name w:val="List Paragraph Char"/>
    <w:basedOn w:val="DefaultParagraphFont"/>
    <w:link w:val="ListParagraph"/>
    <w:uiPriority w:val="34"/>
    <w:rsid w:val="00521783"/>
    <w:rPr>
      <w:rFonts w:ascii="Arial" w:hAnsi="Arial"/>
      <w:sz w:val="20"/>
    </w:rPr>
  </w:style>
  <w:style w:type="character" w:customStyle="1" w:styleId="ListanumericaChar">
    <w:name w:val="Lista numerica Char"/>
    <w:basedOn w:val="ListParagraphChar"/>
    <w:link w:val="Listanumerica"/>
    <w:rsid w:val="00521783"/>
    <w:rPr>
      <w:rFonts w:ascii="Arial" w:hAnsi="Arial"/>
      <w:sz w:val="20"/>
    </w:rPr>
  </w:style>
  <w:style w:type="character" w:customStyle="1" w:styleId="BalloonTextChar">
    <w:name w:val="Balloon Text Char"/>
    <w:basedOn w:val="DefaultParagraphFont"/>
    <w:link w:val="BalloonText"/>
    <w:uiPriority w:val="99"/>
    <w:semiHidden/>
    <w:rsid w:val="00521783"/>
    <w:rPr>
      <w:rFonts w:ascii="Segoe UI" w:hAnsi="Segoe UI" w:cs="Segoe UI"/>
      <w:sz w:val="18"/>
      <w:szCs w:val="18"/>
    </w:rPr>
  </w:style>
  <w:style w:type="table" w:styleId="TableGrid">
    <w:name w:val="Table Grid"/>
    <w:basedOn w:val="TableNormal"/>
    <w:uiPriority w:val="39"/>
    <w:rsid w:val="00D14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BA4A8-B586-4668-B3EC-8929709B8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916</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Ciortan</dc:creator>
  <cp:keywords/>
  <dc:description/>
  <cp:lastModifiedBy>Autonom</cp:lastModifiedBy>
  <cp:revision>2</cp:revision>
  <cp:lastPrinted>2019-10-17T08:04:00Z</cp:lastPrinted>
  <dcterms:created xsi:type="dcterms:W3CDTF">2026-08-28T07:05:00Z</dcterms:created>
  <dcterms:modified xsi:type="dcterms:W3CDTF">2026-08-28T07:05:00Z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c225dfa97a25dceda4f00177642dfce8aeafadec9ebb898cfde155b6c078a1fd</vt:lpwstr>
  </property>
</Properties>
</file>